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A5" w:rsidRPr="00B31BA5" w:rsidRDefault="00B31BA5" w:rsidP="00B31BA5">
      <w:pPr>
        <w:pStyle w:val="Heading1"/>
        <w:numPr>
          <w:ilvl w:val="0"/>
          <w:numId w:val="0"/>
        </w:numPr>
        <w:spacing w:before="0" w:afterLines="120" w:after="288"/>
        <w:ind w:left="432" w:hanging="432"/>
        <w:jc w:val="center"/>
        <w:rPr>
          <w:rFonts w:ascii="Verdana" w:hAnsi="Verdana"/>
          <w:sz w:val="24"/>
          <w:szCs w:val="24"/>
          <w:lang w:eastAsia="en-US"/>
        </w:rPr>
      </w:pPr>
      <w:bookmarkStart w:id="0" w:name="_Toc373743718"/>
      <w:r w:rsidRPr="00B31BA5">
        <w:rPr>
          <w:rFonts w:ascii="Verdana" w:hAnsi="Verdana"/>
          <w:sz w:val="24"/>
          <w:szCs w:val="24"/>
          <w:lang w:eastAsia="en-US"/>
        </w:rPr>
        <w:t>ANNEX II - MODEL FINANCIAL OFFER</w:t>
      </w:r>
      <w:bookmarkEnd w:id="0"/>
    </w:p>
    <w:p w:rsidR="00B31BA5" w:rsidRPr="00B31BA5" w:rsidRDefault="00B31BA5" w:rsidP="00B31BA5">
      <w:pPr>
        <w:pStyle w:val="SubTitle2"/>
        <w:spacing w:afterLines="120" w:after="288"/>
        <w:rPr>
          <w:rFonts w:ascii="Verdana" w:hAnsi="Verdana"/>
          <w:sz w:val="20"/>
        </w:rPr>
      </w:pPr>
      <w:r w:rsidRPr="00B31BA5">
        <w:rPr>
          <w:rFonts w:ascii="Verdana" w:hAnsi="Verdana"/>
          <w:sz w:val="20"/>
        </w:rPr>
        <w:t xml:space="preserve">Tender Publication Reference: </w:t>
      </w:r>
      <w:r w:rsidRPr="00B31BA5">
        <w:rPr>
          <w:rFonts w:ascii="Verdana" w:hAnsi="Verdana"/>
          <w:b w:val="0"/>
          <w:sz w:val="20"/>
        </w:rPr>
        <w:t>EASA.2013.OP.21</w:t>
      </w:r>
      <w:r w:rsidRPr="00B31BA5">
        <w:rPr>
          <w:rFonts w:ascii="Verdana" w:hAnsi="Verdana"/>
          <w:sz w:val="20"/>
        </w:rPr>
        <w:t xml:space="preserve"> </w:t>
      </w:r>
    </w:p>
    <w:p w:rsidR="00B31BA5" w:rsidRPr="00B31BA5" w:rsidRDefault="00B31BA5" w:rsidP="00B31BA5">
      <w:pPr>
        <w:pStyle w:val="SubTitle2"/>
        <w:tabs>
          <w:tab w:val="center" w:pos="4950"/>
          <w:tab w:val="left" w:pos="7106"/>
        </w:tabs>
        <w:spacing w:afterLines="120" w:after="288"/>
        <w:rPr>
          <w:rFonts w:ascii="Verdana" w:hAnsi="Verdana"/>
          <w:sz w:val="20"/>
        </w:rPr>
      </w:pPr>
      <w:r w:rsidRPr="00B31BA5">
        <w:rPr>
          <w:rFonts w:ascii="Verdana" w:hAnsi="Verdana"/>
          <w:sz w:val="20"/>
        </w:rPr>
        <w:t xml:space="preserve">Title of the Contract: </w:t>
      </w:r>
      <w:r w:rsidRPr="00B31BA5">
        <w:rPr>
          <w:rFonts w:ascii="Verdana" w:hAnsi="Verdana"/>
          <w:b w:val="0"/>
          <w:sz w:val="20"/>
        </w:rPr>
        <w:t>Outsourcing of certification tasks to National Aviation Authorities and Qualified Entities</w:t>
      </w:r>
      <w:r w:rsidR="00956373">
        <w:rPr>
          <w:rFonts w:ascii="Verdana" w:hAnsi="Verdana"/>
          <w:b w:val="0"/>
          <w:sz w:val="20"/>
        </w:rPr>
        <w:t xml:space="preserve"> </w:t>
      </w:r>
      <w:bookmarkStart w:id="1" w:name="_GoBack"/>
      <w:r w:rsidR="00956373">
        <w:rPr>
          <w:rFonts w:ascii="Verdana" w:hAnsi="Verdana"/>
          <w:b w:val="0"/>
          <w:sz w:val="20"/>
        </w:rPr>
        <w:t xml:space="preserve">– </w:t>
      </w:r>
      <w:r w:rsidR="00956373" w:rsidRPr="00956373">
        <w:rPr>
          <w:rFonts w:ascii="Verdana" w:hAnsi="Verdana"/>
          <w:b w:val="0"/>
          <w:sz w:val="20"/>
          <w:u w:val="single"/>
        </w:rPr>
        <w:t>LIMITED RE-OPENING</w:t>
      </w:r>
      <w:bookmarkEnd w:id="1"/>
    </w:p>
    <w:p w:rsidR="00B31BA5" w:rsidRPr="00B31BA5" w:rsidRDefault="00B31BA5" w:rsidP="00B31BA5">
      <w:pPr>
        <w:tabs>
          <w:tab w:val="right" w:pos="0"/>
        </w:tabs>
        <w:spacing w:afterLines="120" w:after="288"/>
        <w:jc w:val="center"/>
        <w:rPr>
          <w:rFonts w:ascii="Verdana" w:hAnsi="Verdana" w:cs="Arial"/>
          <w:b/>
          <w:sz w:val="20"/>
          <w:szCs w:val="20"/>
        </w:rPr>
      </w:pPr>
      <w:r w:rsidRPr="00B31BA5">
        <w:rPr>
          <w:rFonts w:ascii="Verdana" w:hAnsi="Verdana" w:cs="Arial"/>
          <w:b/>
          <w:sz w:val="20"/>
          <w:szCs w:val="20"/>
        </w:rPr>
        <w:t xml:space="preserve">NAME OF TENDERER: </w:t>
      </w:r>
      <w:r w:rsidRPr="00B31BA5">
        <w:rPr>
          <w:rFonts w:ascii="Verdana" w:hAnsi="Verdana" w:cs="Arial"/>
          <w:sz w:val="20"/>
          <w:szCs w:val="20"/>
        </w:rPr>
        <w:t xml:space="preserve"> </w:t>
      </w:r>
      <w:r w:rsidRPr="00B31BA5">
        <w:rPr>
          <w:rFonts w:ascii="Verdana" w:hAnsi="Verdana" w:cs="Arial"/>
          <w:b/>
          <w:sz w:val="20"/>
          <w:szCs w:val="20"/>
        </w:rPr>
        <w:t xml:space="preserve"> </w:t>
      </w:r>
      <w:r w:rsidRPr="00B31BA5">
        <w:rPr>
          <w:rFonts w:ascii="Verdana" w:hAnsi="Verdana" w:cs="Arial"/>
          <w:sz w:val="20"/>
          <w:szCs w:val="20"/>
        </w:rPr>
        <w:t>……………………………</w:t>
      </w:r>
    </w:p>
    <w:p w:rsidR="00B31BA5" w:rsidRPr="00B31BA5" w:rsidRDefault="00B31BA5" w:rsidP="00B31BA5">
      <w:pPr>
        <w:tabs>
          <w:tab w:val="right" w:pos="-180"/>
        </w:tabs>
        <w:ind w:left="-180"/>
        <w:rPr>
          <w:rFonts w:ascii="Verdana" w:hAnsi="Verdana" w:cs="Arial"/>
          <w:sz w:val="18"/>
          <w:szCs w:val="18"/>
        </w:rPr>
      </w:pPr>
      <w:r w:rsidRPr="00B31BA5">
        <w:rPr>
          <w:rFonts w:ascii="Verdana" w:hAnsi="Verdana" w:cs="Arial"/>
          <w:sz w:val="18"/>
          <w:szCs w:val="18"/>
        </w:rPr>
        <w:t>The financial offer is split into two parts. The first part requires the provision of a standard hourly rate which will form the basis of the financial evaluation of this tender procedure and therefore its provision shall be compulsory for all tenderers. The second part shall not be mandatory and requires the provision of certain flat rates which shall be used during allocation. If the tenderer is able to provide such flat rates the Agency would welcome an offer to that respect.</w:t>
      </w:r>
    </w:p>
    <w:p w:rsidR="00B31BA5" w:rsidRPr="00B31BA5" w:rsidRDefault="00B31BA5" w:rsidP="00B31BA5">
      <w:pPr>
        <w:tabs>
          <w:tab w:val="right" w:pos="-180"/>
        </w:tabs>
        <w:ind w:left="-180"/>
        <w:rPr>
          <w:rFonts w:ascii="Verdana" w:hAnsi="Verdana" w:cs="Arial"/>
          <w:b/>
          <w:sz w:val="18"/>
          <w:szCs w:val="18"/>
        </w:rPr>
      </w:pPr>
    </w:p>
    <w:p w:rsidR="00B31BA5" w:rsidRPr="00B31BA5" w:rsidRDefault="00B31BA5" w:rsidP="00B31BA5">
      <w:pPr>
        <w:tabs>
          <w:tab w:val="right" w:pos="-180"/>
        </w:tabs>
        <w:ind w:left="-180"/>
        <w:rPr>
          <w:rFonts w:ascii="Verdana" w:hAnsi="Verdana" w:cs="Arial"/>
          <w:b/>
          <w:sz w:val="22"/>
          <w:szCs w:val="22"/>
        </w:rPr>
      </w:pPr>
    </w:p>
    <w:p w:rsidR="00B31BA5" w:rsidRPr="00B31BA5" w:rsidRDefault="00B31BA5" w:rsidP="00B31BA5">
      <w:pPr>
        <w:tabs>
          <w:tab w:val="right" w:pos="-180"/>
        </w:tabs>
        <w:ind w:left="-180"/>
        <w:rPr>
          <w:rFonts w:ascii="Verdana" w:hAnsi="Verdana" w:cs="Arial"/>
          <w:b/>
          <w:sz w:val="22"/>
          <w:szCs w:val="22"/>
        </w:rPr>
      </w:pPr>
      <w:r w:rsidRPr="00B31BA5">
        <w:rPr>
          <w:rFonts w:ascii="Verdana" w:hAnsi="Verdana" w:cs="Arial"/>
          <w:b/>
          <w:sz w:val="22"/>
          <w:szCs w:val="22"/>
        </w:rPr>
        <w:t xml:space="preserve">Part I: Hourly Rate </w:t>
      </w:r>
      <w:r w:rsidRPr="00B31BA5">
        <w:rPr>
          <w:rFonts w:ascii="Verdana" w:hAnsi="Verdana" w:cs="Arial"/>
          <w:b/>
          <w:color w:val="365F91"/>
          <w:sz w:val="22"/>
          <w:szCs w:val="22"/>
        </w:rPr>
        <w:t>(MANDATORY)</w:t>
      </w:r>
    </w:p>
    <w:p w:rsidR="00B31BA5" w:rsidRPr="00B31BA5" w:rsidRDefault="00B31BA5" w:rsidP="00B31BA5">
      <w:pPr>
        <w:tabs>
          <w:tab w:val="right" w:pos="-180"/>
        </w:tabs>
        <w:ind w:left="-180"/>
        <w:rPr>
          <w:rFonts w:ascii="Verdana" w:hAnsi="Verdana" w:cs="Arial"/>
          <w:sz w:val="18"/>
          <w:szCs w:val="18"/>
        </w:rPr>
      </w:pPr>
    </w:p>
    <w:p w:rsidR="00B31BA5" w:rsidRPr="00B31BA5" w:rsidRDefault="00B31BA5" w:rsidP="00B31BA5">
      <w:pPr>
        <w:tabs>
          <w:tab w:val="right" w:pos="-180"/>
        </w:tabs>
        <w:ind w:left="-180"/>
        <w:rPr>
          <w:rFonts w:ascii="Verdana" w:hAnsi="Verdana" w:cs="Arial"/>
          <w:sz w:val="18"/>
          <w:szCs w:val="18"/>
        </w:rPr>
      </w:pPr>
      <w:r w:rsidRPr="00B31BA5">
        <w:rPr>
          <w:rFonts w:ascii="Verdana" w:hAnsi="Verdana" w:cs="Arial"/>
          <w:sz w:val="18"/>
          <w:szCs w:val="18"/>
        </w:rPr>
        <w:t xml:space="preserve">The tenderer is requested to provide an </w:t>
      </w:r>
      <w:r w:rsidRPr="00B31BA5">
        <w:rPr>
          <w:rFonts w:ascii="Verdana" w:hAnsi="Verdana" w:cs="Arial"/>
          <w:b/>
          <w:sz w:val="18"/>
          <w:szCs w:val="18"/>
        </w:rPr>
        <w:t>hourly rate, applicable to both lot 1 &amp; 2,</w:t>
      </w:r>
      <w:r w:rsidRPr="00B31BA5">
        <w:rPr>
          <w:rFonts w:ascii="Verdana" w:hAnsi="Verdana" w:cs="Arial"/>
          <w:sz w:val="18"/>
          <w:szCs w:val="18"/>
        </w:rPr>
        <w:t xml:space="preserve"> which shall correspond to </w:t>
      </w:r>
      <w:r w:rsidRPr="00B31BA5">
        <w:rPr>
          <w:rFonts w:ascii="Verdana" w:hAnsi="Verdana" w:cs="Arial"/>
          <w:b/>
          <w:sz w:val="18"/>
          <w:szCs w:val="18"/>
        </w:rPr>
        <w:t>an hour of performed technical work</w:t>
      </w:r>
      <w:r w:rsidRPr="00B31BA5">
        <w:rPr>
          <w:rFonts w:ascii="Verdana" w:hAnsi="Verdana" w:cs="Arial"/>
          <w:sz w:val="18"/>
          <w:szCs w:val="18"/>
        </w:rPr>
        <w:t xml:space="preserve"> comprising all related costs (e.g. salary scheme, overhead and administrative costs, etc.) but excluding any costs relating to either travel or subsistence incurred when carrying out assignments away from the PCM/expert’s normal place of work. In support of the financial offer, this hourly rate should be </w:t>
      </w:r>
      <w:r w:rsidRPr="00B31BA5">
        <w:rPr>
          <w:rFonts w:ascii="Verdana" w:hAnsi="Verdana" w:cs="Arial"/>
          <w:b/>
          <w:sz w:val="18"/>
          <w:szCs w:val="18"/>
        </w:rPr>
        <w:t>substantiated</w:t>
      </w:r>
      <w:r w:rsidRPr="00B31BA5">
        <w:rPr>
          <w:rFonts w:ascii="Verdana" w:hAnsi="Verdana" w:cs="Arial"/>
          <w:sz w:val="18"/>
          <w:szCs w:val="18"/>
        </w:rPr>
        <w:t xml:space="preserve"> by means of a numerical explanation/description of how the hourly rate has been composed – </w:t>
      </w:r>
      <w:r w:rsidRPr="00B31BA5">
        <w:rPr>
          <w:rFonts w:ascii="Verdana" w:hAnsi="Verdana" w:cs="Arial"/>
          <w:b/>
          <w:color w:val="365F91"/>
          <w:sz w:val="18"/>
          <w:szCs w:val="18"/>
        </w:rPr>
        <w:t>please note this substantiation is mandatory</w:t>
      </w:r>
      <w:r w:rsidRPr="00B31BA5">
        <w:rPr>
          <w:rStyle w:val="FootnoteReference"/>
          <w:rFonts w:ascii="Verdana" w:hAnsi="Verdana" w:cs="Arial"/>
          <w:b/>
          <w:color w:val="365F91"/>
          <w:sz w:val="18"/>
          <w:szCs w:val="18"/>
        </w:rPr>
        <w:footnoteReference w:id="1"/>
      </w:r>
      <w:r w:rsidRPr="00B31BA5">
        <w:rPr>
          <w:rFonts w:ascii="Verdana" w:hAnsi="Verdana" w:cs="Arial"/>
          <w:sz w:val="18"/>
          <w:szCs w:val="18"/>
        </w:rPr>
        <w:t>.</w:t>
      </w:r>
    </w:p>
    <w:p w:rsidR="00B31BA5" w:rsidRPr="00B31BA5" w:rsidRDefault="00B31BA5" w:rsidP="00B31BA5">
      <w:pPr>
        <w:tabs>
          <w:tab w:val="right" w:pos="-180"/>
        </w:tabs>
        <w:ind w:left="-181"/>
        <w:rPr>
          <w:rFonts w:ascii="Verdana" w:hAnsi="Verdana" w:cs="Arial"/>
          <w:b/>
          <w:i/>
          <w:sz w:val="18"/>
          <w:szCs w:val="18"/>
        </w:rPr>
      </w:pPr>
    </w:p>
    <w:p w:rsidR="00B31BA5" w:rsidRPr="00B31BA5" w:rsidRDefault="00B31BA5" w:rsidP="00B31BA5">
      <w:pPr>
        <w:tabs>
          <w:tab w:val="right" w:pos="-180"/>
        </w:tabs>
        <w:ind w:left="-181"/>
        <w:rPr>
          <w:rFonts w:ascii="Verdana" w:hAnsi="Verdana" w:cs="Arial"/>
          <w:b/>
          <w:i/>
          <w:sz w:val="18"/>
          <w:szCs w:val="18"/>
        </w:rPr>
      </w:pPr>
      <w:r w:rsidRPr="00B31BA5">
        <w:rPr>
          <w:rFonts w:ascii="Verdana" w:hAnsi="Verdana" w:cs="Arial"/>
          <w:b/>
          <w:i/>
          <w:sz w:val="18"/>
          <w:szCs w:val="18"/>
        </w:rPr>
        <w:t>Reimbursements of travel costs:</w:t>
      </w:r>
    </w:p>
    <w:p w:rsidR="00B31BA5" w:rsidRPr="00B31BA5" w:rsidRDefault="00B31BA5" w:rsidP="00B31BA5">
      <w:pPr>
        <w:tabs>
          <w:tab w:val="right" w:pos="-180"/>
        </w:tabs>
        <w:ind w:left="-181"/>
        <w:rPr>
          <w:rFonts w:ascii="Verdana" w:hAnsi="Verdana" w:cs="Arial"/>
          <w:i/>
          <w:sz w:val="18"/>
          <w:szCs w:val="18"/>
        </w:rPr>
      </w:pPr>
      <w:r w:rsidRPr="00B31BA5">
        <w:rPr>
          <w:rFonts w:ascii="Verdana" w:hAnsi="Verdana" w:cs="Arial"/>
          <w:i/>
          <w:sz w:val="18"/>
          <w:szCs w:val="18"/>
        </w:rPr>
        <w:t xml:space="preserve">The provisions for the reimbursement of travels costs are described in Annex C to the draft framework service contract (Annex I to these tender specifications). It is important to note, in line with the current fees &amp; charges regulation, that </w:t>
      </w:r>
      <w:r w:rsidRPr="00B31BA5">
        <w:rPr>
          <w:rFonts w:ascii="Verdana" w:hAnsi="Verdana" w:cs="Arial"/>
          <w:b/>
          <w:i/>
          <w:sz w:val="18"/>
          <w:szCs w:val="18"/>
        </w:rPr>
        <w:t>travel time</w:t>
      </w:r>
      <w:r w:rsidRPr="00B31BA5">
        <w:rPr>
          <w:rFonts w:ascii="Verdana" w:hAnsi="Verdana" w:cs="Arial"/>
          <w:i/>
          <w:sz w:val="18"/>
          <w:szCs w:val="18"/>
        </w:rPr>
        <w:t xml:space="preserve"> within EASA Member States shall not be reimbursed.</w:t>
      </w:r>
    </w:p>
    <w:p w:rsidR="00B31BA5" w:rsidRPr="00B31BA5" w:rsidRDefault="00B31BA5" w:rsidP="00B31BA5">
      <w:pPr>
        <w:tabs>
          <w:tab w:val="right" w:pos="-180"/>
        </w:tabs>
        <w:ind w:left="-181"/>
        <w:rPr>
          <w:rFonts w:ascii="Verdana" w:hAnsi="Verdana" w:cs="Arial"/>
          <w:sz w:val="18"/>
          <w:szCs w:val="18"/>
        </w:rPr>
      </w:pPr>
    </w:p>
    <w:p w:rsidR="00B31BA5" w:rsidRPr="00B31BA5" w:rsidRDefault="00B31BA5" w:rsidP="00B31BA5">
      <w:pPr>
        <w:tabs>
          <w:tab w:val="right" w:pos="-180"/>
        </w:tabs>
        <w:ind w:left="-180"/>
        <w:rPr>
          <w:rFonts w:ascii="Verdana" w:hAnsi="Verdana" w:cs="Arial"/>
          <w:b/>
          <w:sz w:val="22"/>
          <w:szCs w:val="22"/>
        </w:rPr>
      </w:pPr>
      <w:r w:rsidRPr="00B31BA5">
        <w:rPr>
          <w:rFonts w:ascii="Verdana" w:hAnsi="Verdana" w:cs="Arial"/>
          <w:b/>
          <w:sz w:val="22"/>
          <w:szCs w:val="22"/>
        </w:rPr>
        <w:t>Hourly Rate:</w:t>
      </w:r>
    </w:p>
    <w:p w:rsidR="00B31BA5" w:rsidRPr="00B31BA5" w:rsidRDefault="00B31BA5" w:rsidP="00B31BA5">
      <w:pPr>
        <w:tabs>
          <w:tab w:val="right" w:pos="-180"/>
        </w:tabs>
        <w:ind w:left="-180"/>
        <w:rPr>
          <w:rFonts w:ascii="Verdana" w:hAnsi="Verdana" w:cs="Arial"/>
          <w:b/>
          <w:sz w:val="18"/>
          <w:szCs w:val="18"/>
        </w:rPr>
      </w:pPr>
    </w:p>
    <w:tbl>
      <w:tblPr>
        <w:tblW w:w="6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060"/>
      </w:tblGrid>
      <w:tr w:rsidR="00B31BA5" w:rsidRPr="00B31BA5" w:rsidTr="00C000F9">
        <w:trPr>
          <w:trHeight w:val="752"/>
        </w:trPr>
        <w:tc>
          <w:tcPr>
            <w:tcW w:w="3600" w:type="dxa"/>
            <w:shd w:val="clear" w:color="auto" w:fill="BFBFBF"/>
            <w:vAlign w:val="center"/>
          </w:tcPr>
          <w:p w:rsidR="00B31BA5" w:rsidRPr="00B31BA5" w:rsidRDefault="00B31BA5" w:rsidP="00C000F9">
            <w:pPr>
              <w:spacing w:before="200" w:after="200"/>
              <w:jc w:val="center"/>
              <w:rPr>
                <w:rFonts w:ascii="Verdana" w:hAnsi="Verdana" w:cs="Arial"/>
                <w:b/>
                <w:sz w:val="18"/>
                <w:szCs w:val="18"/>
              </w:rPr>
            </w:pPr>
          </w:p>
        </w:tc>
        <w:tc>
          <w:tcPr>
            <w:tcW w:w="3060" w:type="dxa"/>
            <w:shd w:val="clear" w:color="auto" w:fill="BFBFBF"/>
            <w:vAlign w:val="center"/>
          </w:tcPr>
          <w:p w:rsidR="00B31BA5" w:rsidRPr="00B31BA5" w:rsidRDefault="00B31BA5" w:rsidP="00C000F9">
            <w:pPr>
              <w:spacing w:before="200" w:after="200"/>
              <w:jc w:val="center"/>
              <w:rPr>
                <w:rFonts w:ascii="Verdana" w:hAnsi="Verdana" w:cs="Arial"/>
                <w:b/>
                <w:sz w:val="18"/>
                <w:szCs w:val="18"/>
              </w:rPr>
            </w:pPr>
            <w:r w:rsidRPr="00B31BA5">
              <w:rPr>
                <w:rFonts w:ascii="Verdana" w:hAnsi="Verdana" w:cs="Arial"/>
                <w:b/>
                <w:sz w:val="18"/>
                <w:szCs w:val="18"/>
              </w:rPr>
              <w:t>Price per hour in EURO (without VAT)</w:t>
            </w:r>
          </w:p>
        </w:tc>
      </w:tr>
      <w:tr w:rsidR="00B31BA5" w:rsidRPr="00B31BA5" w:rsidTr="00C000F9">
        <w:tc>
          <w:tcPr>
            <w:tcW w:w="3600" w:type="dxa"/>
            <w:shd w:val="clear" w:color="auto" w:fill="F2F2F2"/>
            <w:vAlign w:val="center"/>
          </w:tcPr>
          <w:p w:rsidR="00B31BA5" w:rsidRPr="00B31BA5" w:rsidRDefault="00B31BA5" w:rsidP="00C000F9">
            <w:pPr>
              <w:spacing w:before="200" w:after="200"/>
              <w:jc w:val="center"/>
              <w:rPr>
                <w:rFonts w:ascii="Verdana" w:hAnsi="Verdana" w:cs="Arial"/>
                <w:b/>
                <w:sz w:val="18"/>
                <w:szCs w:val="18"/>
              </w:rPr>
            </w:pPr>
            <w:r w:rsidRPr="00B31BA5">
              <w:rPr>
                <w:rFonts w:ascii="Verdana" w:hAnsi="Verdana" w:cs="Arial"/>
                <w:b/>
                <w:sz w:val="18"/>
                <w:szCs w:val="18"/>
              </w:rPr>
              <w:t>Hourly Rate (Lot 1 &amp; 2):</w:t>
            </w:r>
          </w:p>
        </w:tc>
        <w:tc>
          <w:tcPr>
            <w:tcW w:w="3060" w:type="dxa"/>
            <w:shd w:val="clear" w:color="auto" w:fill="F2F2F2"/>
            <w:vAlign w:val="center"/>
          </w:tcPr>
          <w:p w:rsidR="00B31BA5" w:rsidRPr="00B31BA5" w:rsidRDefault="00B31BA5" w:rsidP="00C000F9">
            <w:pPr>
              <w:spacing w:before="200" w:after="200"/>
              <w:jc w:val="center"/>
              <w:rPr>
                <w:rFonts w:ascii="Verdana" w:hAnsi="Verdana" w:cs="Arial"/>
                <w:sz w:val="18"/>
                <w:szCs w:val="18"/>
              </w:rPr>
            </w:pPr>
          </w:p>
        </w:tc>
      </w:tr>
    </w:tbl>
    <w:p w:rsidR="00B31BA5" w:rsidRPr="00B31BA5" w:rsidRDefault="00B31BA5" w:rsidP="00B31BA5">
      <w:pPr>
        <w:tabs>
          <w:tab w:val="right" w:pos="-180"/>
        </w:tabs>
        <w:ind w:left="-180"/>
        <w:rPr>
          <w:rFonts w:ascii="Verdana" w:hAnsi="Verdana" w:cs="Arial"/>
          <w:b/>
          <w:sz w:val="18"/>
          <w:szCs w:val="18"/>
        </w:rPr>
      </w:pPr>
    </w:p>
    <w:p w:rsidR="00B31BA5" w:rsidRPr="00B31BA5" w:rsidRDefault="00B31BA5" w:rsidP="00B31BA5">
      <w:pPr>
        <w:tabs>
          <w:tab w:val="right" w:pos="-180"/>
        </w:tabs>
        <w:ind w:left="-180"/>
        <w:rPr>
          <w:rFonts w:ascii="Verdana" w:hAnsi="Verdana" w:cs="Arial"/>
          <w:b/>
          <w:sz w:val="18"/>
          <w:szCs w:val="18"/>
        </w:rPr>
      </w:pPr>
      <w:r w:rsidRPr="00B31BA5">
        <w:rPr>
          <w:rFonts w:ascii="Verdana" w:hAnsi="Verdana" w:cs="Arial"/>
          <w:b/>
          <w:sz w:val="18"/>
          <w:szCs w:val="18"/>
        </w:rPr>
        <w:t>Note:</w:t>
      </w:r>
    </w:p>
    <w:p w:rsidR="00B31BA5" w:rsidRPr="00B31BA5" w:rsidRDefault="00B31BA5" w:rsidP="00B31BA5">
      <w:pPr>
        <w:tabs>
          <w:tab w:val="right" w:pos="-180"/>
        </w:tabs>
        <w:ind w:left="-180"/>
        <w:rPr>
          <w:rFonts w:ascii="Verdana" w:hAnsi="Verdana" w:cs="Arial"/>
          <w:b/>
          <w:sz w:val="18"/>
          <w:szCs w:val="18"/>
        </w:rPr>
      </w:pPr>
    </w:p>
    <w:p w:rsidR="00B31BA5" w:rsidRPr="00B31BA5" w:rsidRDefault="00B31BA5" w:rsidP="00B31BA5">
      <w:pPr>
        <w:numPr>
          <w:ilvl w:val="0"/>
          <w:numId w:val="4"/>
        </w:numPr>
        <w:tabs>
          <w:tab w:val="right" w:pos="-180"/>
        </w:tabs>
        <w:rPr>
          <w:rFonts w:ascii="Verdana" w:hAnsi="Verdana" w:cs="Arial"/>
          <w:sz w:val="18"/>
          <w:szCs w:val="18"/>
        </w:rPr>
      </w:pPr>
      <w:r w:rsidRPr="00B31BA5">
        <w:rPr>
          <w:rFonts w:ascii="Verdana" w:hAnsi="Verdana" w:cs="Arial"/>
          <w:sz w:val="18"/>
          <w:szCs w:val="18"/>
        </w:rPr>
        <w:t xml:space="preserve">The hourly rate must be quoted in EURO and should include </w:t>
      </w:r>
      <w:r w:rsidRPr="00B31BA5">
        <w:rPr>
          <w:rFonts w:ascii="Verdana" w:hAnsi="Verdana" w:cs="Arial"/>
          <w:b/>
          <w:sz w:val="18"/>
          <w:szCs w:val="18"/>
        </w:rPr>
        <w:t>ALL</w:t>
      </w:r>
      <w:r w:rsidRPr="00B31BA5">
        <w:rPr>
          <w:rFonts w:ascii="Verdana" w:hAnsi="Verdana" w:cs="Arial"/>
          <w:sz w:val="18"/>
          <w:szCs w:val="18"/>
        </w:rPr>
        <w:t xml:space="preserve"> expenses necessary for the performance of the contract with the exception of travel costs, which shall be reimbursed in line with the provisions of the draft contract.</w:t>
      </w:r>
    </w:p>
    <w:p w:rsidR="00B31BA5" w:rsidRPr="00B31BA5" w:rsidRDefault="00B31BA5" w:rsidP="00B31BA5">
      <w:pPr>
        <w:tabs>
          <w:tab w:val="right" w:pos="-180"/>
        </w:tabs>
        <w:ind w:left="360"/>
        <w:rPr>
          <w:rFonts w:ascii="Verdana" w:hAnsi="Verdana" w:cs="Arial"/>
          <w:sz w:val="18"/>
          <w:szCs w:val="18"/>
        </w:rPr>
      </w:pPr>
    </w:p>
    <w:p w:rsidR="00B31BA5" w:rsidRPr="00B31BA5" w:rsidRDefault="00B31BA5" w:rsidP="00B31BA5">
      <w:pPr>
        <w:numPr>
          <w:ilvl w:val="0"/>
          <w:numId w:val="4"/>
        </w:numPr>
        <w:tabs>
          <w:tab w:val="right" w:pos="-180"/>
        </w:tabs>
        <w:rPr>
          <w:rFonts w:ascii="Verdana" w:hAnsi="Verdana" w:cs="Arial"/>
          <w:sz w:val="18"/>
          <w:szCs w:val="18"/>
        </w:rPr>
      </w:pPr>
      <w:r w:rsidRPr="00B31BA5">
        <w:rPr>
          <w:rFonts w:ascii="Verdana" w:hAnsi="Verdana" w:cs="Arial"/>
          <w:sz w:val="18"/>
          <w:szCs w:val="18"/>
        </w:rPr>
        <w:t>Revisions to this price shall be subject to the provisions of Article I.8 – CHARGES of the draft contract (Annex I to these tender specifications).</w:t>
      </w:r>
    </w:p>
    <w:p w:rsidR="00B31BA5" w:rsidRPr="00B31BA5" w:rsidRDefault="00B31BA5" w:rsidP="00B31BA5">
      <w:pPr>
        <w:tabs>
          <w:tab w:val="right" w:pos="-180"/>
        </w:tabs>
        <w:ind w:left="360"/>
        <w:rPr>
          <w:rFonts w:ascii="Verdana" w:hAnsi="Verdana" w:cs="Arial"/>
          <w:sz w:val="18"/>
          <w:szCs w:val="18"/>
        </w:rPr>
      </w:pPr>
    </w:p>
    <w:p w:rsidR="00B31BA5" w:rsidRPr="00B31BA5" w:rsidRDefault="00B31BA5" w:rsidP="00B31BA5">
      <w:pPr>
        <w:numPr>
          <w:ilvl w:val="0"/>
          <w:numId w:val="5"/>
        </w:numPr>
        <w:tabs>
          <w:tab w:val="right" w:pos="-180"/>
        </w:tabs>
        <w:rPr>
          <w:rFonts w:ascii="Verdana" w:hAnsi="Verdana" w:cs="Arial"/>
          <w:sz w:val="18"/>
          <w:szCs w:val="18"/>
        </w:rPr>
      </w:pPr>
      <w:r w:rsidRPr="00B31BA5">
        <w:rPr>
          <w:rFonts w:ascii="Verdana" w:hAnsi="Verdana" w:cs="Arial"/>
          <w:sz w:val="18"/>
          <w:szCs w:val="18"/>
        </w:rPr>
        <w:t>NO additional costs, except those for working time and travel related costs as described above may be charged to the Agency.</w:t>
      </w:r>
    </w:p>
    <w:p w:rsidR="00B31BA5" w:rsidRPr="00B31BA5" w:rsidRDefault="00B31BA5" w:rsidP="00B31BA5">
      <w:pPr>
        <w:tabs>
          <w:tab w:val="right" w:pos="-180"/>
        </w:tabs>
        <w:rPr>
          <w:rFonts w:ascii="Verdana" w:hAnsi="Verdana" w:cs="Arial"/>
          <w:sz w:val="18"/>
          <w:szCs w:val="18"/>
        </w:rPr>
      </w:pPr>
    </w:p>
    <w:p w:rsidR="00B31BA5" w:rsidRPr="00B31BA5" w:rsidRDefault="00B31BA5" w:rsidP="00B31BA5">
      <w:pPr>
        <w:numPr>
          <w:ilvl w:val="0"/>
          <w:numId w:val="5"/>
        </w:numPr>
        <w:tabs>
          <w:tab w:val="right" w:pos="-180"/>
        </w:tabs>
        <w:rPr>
          <w:rFonts w:ascii="Verdana" w:hAnsi="Verdana" w:cs="Arial"/>
          <w:sz w:val="18"/>
          <w:szCs w:val="18"/>
        </w:rPr>
      </w:pPr>
      <w:r w:rsidRPr="00B31BA5">
        <w:rPr>
          <w:rFonts w:ascii="Verdana" w:hAnsi="Verdana" w:cs="Arial"/>
          <w:b/>
          <w:sz w:val="18"/>
          <w:szCs w:val="18"/>
        </w:rPr>
        <w:t>Existing CSPs –IMPORTANT NOTICE</w:t>
      </w:r>
      <w:r w:rsidRPr="00B31BA5">
        <w:rPr>
          <w:rFonts w:ascii="Verdana" w:hAnsi="Verdana" w:cs="Arial"/>
          <w:sz w:val="18"/>
          <w:szCs w:val="18"/>
        </w:rPr>
        <w:t>:</w:t>
      </w:r>
    </w:p>
    <w:p w:rsidR="00B31BA5" w:rsidRPr="00B31BA5" w:rsidRDefault="00B31BA5" w:rsidP="00B31BA5">
      <w:pPr>
        <w:pStyle w:val="ListParagraph"/>
        <w:rPr>
          <w:rFonts w:cs="Arial"/>
          <w:sz w:val="18"/>
          <w:szCs w:val="18"/>
        </w:rPr>
      </w:pPr>
    </w:p>
    <w:p w:rsidR="00B31BA5" w:rsidRPr="00B31BA5" w:rsidRDefault="00B31BA5" w:rsidP="00B31BA5">
      <w:pPr>
        <w:pStyle w:val="ListParagraph"/>
        <w:numPr>
          <w:ilvl w:val="0"/>
          <w:numId w:val="7"/>
        </w:numPr>
        <w:tabs>
          <w:tab w:val="right" w:pos="-180"/>
        </w:tabs>
        <w:rPr>
          <w:rFonts w:cs="Arial"/>
          <w:sz w:val="18"/>
          <w:szCs w:val="18"/>
        </w:rPr>
      </w:pPr>
      <w:r w:rsidRPr="00B31BA5">
        <w:rPr>
          <w:rFonts w:cs="Arial"/>
          <w:sz w:val="18"/>
          <w:szCs w:val="18"/>
        </w:rPr>
        <w:t xml:space="preserve">In line with section 2.3 existing contractors who have valid contracts with the Agency resulting from the tender procedure EASA.2011.RP.06 </w:t>
      </w:r>
      <w:r w:rsidRPr="00B31BA5">
        <w:rPr>
          <w:rFonts w:cs="Arial"/>
          <w:b/>
          <w:sz w:val="18"/>
          <w:szCs w:val="18"/>
        </w:rPr>
        <w:t>may submit a new financial offer only and exclusively should they wish to reduce their prices</w:t>
      </w:r>
      <w:r w:rsidRPr="00B31BA5">
        <w:rPr>
          <w:rFonts w:cs="Arial"/>
          <w:sz w:val="18"/>
          <w:szCs w:val="18"/>
        </w:rPr>
        <w:t xml:space="preserve">. </w:t>
      </w:r>
    </w:p>
    <w:p w:rsidR="00B31BA5" w:rsidRPr="00B31BA5" w:rsidRDefault="00B31BA5" w:rsidP="00B31BA5">
      <w:pPr>
        <w:pStyle w:val="ListParagraph"/>
        <w:rPr>
          <w:rFonts w:cs="Arial"/>
          <w:sz w:val="18"/>
          <w:szCs w:val="18"/>
        </w:rPr>
      </w:pPr>
    </w:p>
    <w:p w:rsidR="00B31BA5" w:rsidRDefault="00B31BA5" w:rsidP="00B31BA5">
      <w:pPr>
        <w:pStyle w:val="ListParagraph"/>
        <w:numPr>
          <w:ilvl w:val="0"/>
          <w:numId w:val="7"/>
        </w:numPr>
        <w:tabs>
          <w:tab w:val="right" w:pos="-180"/>
        </w:tabs>
        <w:rPr>
          <w:rFonts w:cs="Arial"/>
          <w:sz w:val="18"/>
          <w:szCs w:val="18"/>
        </w:rPr>
      </w:pPr>
      <w:r w:rsidRPr="00B31BA5">
        <w:rPr>
          <w:rFonts w:cs="Arial"/>
          <w:sz w:val="18"/>
          <w:szCs w:val="18"/>
        </w:rPr>
        <w:t xml:space="preserve">If no new financial offer is submitted, the contractual prices existing in the current contract shall remain valid and apply also to the new areas covered by the present tender. </w:t>
      </w:r>
    </w:p>
    <w:p w:rsidR="00B31BA5" w:rsidRPr="00B31BA5" w:rsidRDefault="00B31BA5" w:rsidP="00B31BA5">
      <w:pPr>
        <w:pStyle w:val="ListParagraph"/>
        <w:rPr>
          <w:rFonts w:cs="Arial"/>
          <w:sz w:val="18"/>
          <w:szCs w:val="18"/>
        </w:rPr>
      </w:pPr>
    </w:p>
    <w:p w:rsidR="00B31BA5" w:rsidRPr="00B31BA5" w:rsidRDefault="00B31BA5" w:rsidP="00B31BA5">
      <w:pPr>
        <w:pStyle w:val="ListParagraph"/>
        <w:numPr>
          <w:ilvl w:val="0"/>
          <w:numId w:val="7"/>
        </w:numPr>
        <w:tabs>
          <w:tab w:val="right" w:pos="-180"/>
        </w:tabs>
        <w:rPr>
          <w:rFonts w:cs="Arial"/>
          <w:sz w:val="18"/>
          <w:szCs w:val="18"/>
        </w:rPr>
      </w:pPr>
      <w:r w:rsidRPr="00B31BA5">
        <w:rPr>
          <w:rFonts w:cs="Arial"/>
          <w:sz w:val="18"/>
          <w:szCs w:val="18"/>
        </w:rPr>
        <w:t xml:space="preserve">If a new financial offer is received from existing CSPs where an increase in the prices is found, such financial offers shall be deemed invalid and the existing contractual prices shall remain valid and apply also to the new areas covered by the present tender.   </w:t>
      </w:r>
    </w:p>
    <w:p w:rsidR="00B31BA5" w:rsidRPr="00B31BA5" w:rsidRDefault="00B31BA5" w:rsidP="00B31BA5">
      <w:pPr>
        <w:tabs>
          <w:tab w:val="right" w:pos="-180"/>
        </w:tabs>
        <w:ind w:left="-180"/>
        <w:rPr>
          <w:rFonts w:ascii="Verdana" w:hAnsi="Verdana" w:cs="Arial"/>
          <w:b/>
          <w:color w:val="365F91"/>
          <w:sz w:val="22"/>
          <w:szCs w:val="22"/>
        </w:rPr>
      </w:pPr>
      <w:r w:rsidRPr="00B31BA5">
        <w:rPr>
          <w:rFonts w:ascii="Verdana" w:hAnsi="Verdana" w:cs="Arial"/>
          <w:b/>
          <w:sz w:val="22"/>
          <w:szCs w:val="22"/>
        </w:rPr>
        <w:lastRenderedPageBreak/>
        <w:t xml:space="preserve">Part II: Flat Rates </w:t>
      </w:r>
      <w:r w:rsidRPr="00B31BA5">
        <w:rPr>
          <w:rFonts w:ascii="Verdana" w:hAnsi="Verdana" w:cs="Arial"/>
          <w:b/>
          <w:color w:val="365F91"/>
          <w:sz w:val="22"/>
          <w:szCs w:val="22"/>
        </w:rPr>
        <w:t>(OPTIONAL)</w:t>
      </w:r>
    </w:p>
    <w:p w:rsidR="00B31BA5" w:rsidRPr="00B31BA5" w:rsidRDefault="00B31BA5" w:rsidP="00B31BA5">
      <w:pPr>
        <w:keepNext/>
        <w:keepLines/>
        <w:widowControl w:val="0"/>
        <w:ind w:left="-180"/>
        <w:jc w:val="both"/>
        <w:rPr>
          <w:rFonts w:ascii="Verdana" w:hAnsi="Verdana" w:cs="Arial"/>
          <w:sz w:val="18"/>
          <w:szCs w:val="18"/>
        </w:rPr>
      </w:pP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If applicable (i.e. if within the scope for which a tender is submitted) the tenderer is requested to propose ‘</w:t>
      </w:r>
      <w:r w:rsidRPr="00B31BA5">
        <w:rPr>
          <w:rFonts w:ascii="Verdana" w:hAnsi="Verdana" w:cs="Arial"/>
          <w:b/>
          <w:sz w:val="18"/>
          <w:szCs w:val="18"/>
        </w:rPr>
        <w:t>flat rates</w:t>
      </w:r>
      <w:r w:rsidRPr="00B31BA5">
        <w:rPr>
          <w:rFonts w:ascii="Verdana" w:hAnsi="Verdana" w:cs="Arial"/>
          <w:sz w:val="18"/>
          <w:szCs w:val="18"/>
        </w:rPr>
        <w:t xml:space="preserve">’ for: </w:t>
      </w: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1) Certain project categories (in the area of products certification) that are expected to be relatively high in frequency and low in work-volume and,</w:t>
      </w: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2) For fixed travel times to destinations outside the territories of the EASA Member States.</w:t>
      </w:r>
    </w:p>
    <w:p w:rsidR="00B31BA5" w:rsidRPr="00B31BA5" w:rsidRDefault="00B31BA5" w:rsidP="00B31BA5">
      <w:pPr>
        <w:keepNext/>
        <w:keepLines/>
        <w:widowControl w:val="0"/>
        <w:ind w:left="-180"/>
        <w:jc w:val="both"/>
        <w:rPr>
          <w:rFonts w:ascii="Verdana" w:hAnsi="Verdana" w:cs="Arial"/>
          <w:sz w:val="18"/>
          <w:szCs w:val="18"/>
        </w:rPr>
      </w:pP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 xml:space="preserve">An offer for such flat rates is to be </w:t>
      </w:r>
      <w:r w:rsidRPr="00B31BA5">
        <w:rPr>
          <w:rFonts w:ascii="Verdana" w:hAnsi="Verdana" w:cs="Arial"/>
          <w:b/>
          <w:sz w:val="18"/>
          <w:szCs w:val="18"/>
        </w:rPr>
        <w:t>expressed as a number of working hours</w:t>
      </w:r>
      <w:r w:rsidRPr="00B31BA5">
        <w:rPr>
          <w:rFonts w:ascii="Verdana" w:hAnsi="Verdana" w:cs="Arial"/>
          <w:sz w:val="18"/>
          <w:szCs w:val="18"/>
        </w:rPr>
        <w:t xml:space="preserve"> which will be charged to the Agency at the above hourly rate. The provision of these flat rates is encouraged as they serve not only to simplify the forecasting of related costs but also streamline &amp; simplify the administration of projects/tasks for both parties. </w:t>
      </w:r>
    </w:p>
    <w:p w:rsidR="00B31BA5" w:rsidRPr="00B31BA5" w:rsidRDefault="00B31BA5" w:rsidP="00B31BA5">
      <w:pPr>
        <w:keepNext/>
        <w:keepLines/>
        <w:widowControl w:val="0"/>
        <w:ind w:left="-180"/>
        <w:jc w:val="both"/>
        <w:rPr>
          <w:rFonts w:ascii="Verdana" w:hAnsi="Verdana" w:cs="Arial"/>
          <w:sz w:val="18"/>
          <w:szCs w:val="18"/>
        </w:rPr>
      </w:pP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 xml:space="preserve">Although the provision and value of the flat rates shall not be strictly evaluated as part of the tender procedure they shall serve as a clear indicator of </w:t>
      </w:r>
      <w:r w:rsidRPr="00B31BA5">
        <w:rPr>
          <w:rFonts w:ascii="Verdana" w:hAnsi="Verdana" w:cs="Arial"/>
          <w:b/>
          <w:sz w:val="18"/>
          <w:szCs w:val="18"/>
        </w:rPr>
        <w:t>relative efficiency &amp; costs</w:t>
      </w:r>
      <w:r w:rsidRPr="00B31BA5">
        <w:rPr>
          <w:rFonts w:ascii="Verdana" w:hAnsi="Verdana" w:cs="Arial"/>
          <w:sz w:val="18"/>
          <w:szCs w:val="18"/>
        </w:rPr>
        <w:t xml:space="preserve"> at the </w:t>
      </w:r>
      <w:r w:rsidRPr="00B31BA5">
        <w:rPr>
          <w:rFonts w:ascii="Verdana" w:hAnsi="Verdana" w:cs="Arial"/>
          <w:b/>
          <w:sz w:val="18"/>
          <w:szCs w:val="18"/>
        </w:rPr>
        <w:t>stage of allocation</w:t>
      </w:r>
      <w:r w:rsidRPr="00B31BA5">
        <w:rPr>
          <w:rFonts w:ascii="Verdana" w:hAnsi="Verdana" w:cs="Arial"/>
          <w:sz w:val="18"/>
          <w:szCs w:val="18"/>
        </w:rPr>
        <w:t xml:space="preserve"> i.e. for the day to day assignment of tasks in line with the allocation criteria. </w:t>
      </w:r>
    </w:p>
    <w:p w:rsidR="00B31BA5" w:rsidRPr="00B31BA5" w:rsidRDefault="00B31BA5" w:rsidP="00B31BA5">
      <w:pPr>
        <w:keepNext/>
        <w:keepLines/>
        <w:widowControl w:val="0"/>
        <w:ind w:left="-180"/>
        <w:jc w:val="both"/>
        <w:rPr>
          <w:rFonts w:ascii="Verdana" w:hAnsi="Verdana" w:cs="Arial"/>
          <w:sz w:val="18"/>
          <w:szCs w:val="18"/>
        </w:rPr>
      </w:pP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Should the tenderer be in a position to offer further flat rates</w:t>
      </w:r>
      <w:r w:rsidRPr="00B31BA5" w:rsidDel="002C34C4">
        <w:rPr>
          <w:rFonts w:ascii="Verdana" w:hAnsi="Verdana" w:cs="Arial"/>
          <w:sz w:val="18"/>
          <w:szCs w:val="18"/>
        </w:rPr>
        <w:t xml:space="preserve"> </w:t>
      </w:r>
      <w:r w:rsidRPr="00B31BA5">
        <w:rPr>
          <w:rFonts w:ascii="Verdana" w:hAnsi="Verdana" w:cs="Arial"/>
          <w:sz w:val="18"/>
          <w:szCs w:val="18"/>
        </w:rPr>
        <w:t>for lot 1, beyond the categories indicated in the table below, information to this respect would be welcomed by the Agency.</w:t>
      </w:r>
    </w:p>
    <w:p w:rsidR="00B31BA5" w:rsidRPr="00B31BA5" w:rsidRDefault="00B31BA5" w:rsidP="00B31BA5">
      <w:pPr>
        <w:keepNext/>
        <w:keepLines/>
        <w:widowControl w:val="0"/>
        <w:ind w:left="-180"/>
        <w:jc w:val="both"/>
        <w:rPr>
          <w:rFonts w:ascii="Verdana" w:hAnsi="Verdana" w:cs="Arial"/>
          <w:sz w:val="18"/>
          <w:szCs w:val="18"/>
        </w:rPr>
      </w:pPr>
    </w:p>
    <w:p w:rsidR="00B31BA5" w:rsidRPr="00B31BA5" w:rsidRDefault="00B31BA5" w:rsidP="00B31BA5">
      <w:pPr>
        <w:keepNext/>
        <w:keepLines/>
        <w:widowControl w:val="0"/>
        <w:ind w:left="-180"/>
        <w:jc w:val="both"/>
        <w:rPr>
          <w:rFonts w:ascii="Verdana" w:hAnsi="Verdana" w:cs="Arial"/>
          <w:sz w:val="18"/>
          <w:szCs w:val="18"/>
        </w:rPr>
      </w:pPr>
      <w:r w:rsidRPr="00B31BA5">
        <w:rPr>
          <w:rFonts w:ascii="Verdana" w:hAnsi="Verdana" w:cs="Arial"/>
          <w:sz w:val="18"/>
          <w:szCs w:val="18"/>
        </w:rPr>
        <w:t>It is important to note that it shall be understood by both parties that the offers herewith may subsequently lead to binding agreements, in which case both parties undertake</w:t>
      </w:r>
      <w:r w:rsidRPr="00B31BA5" w:rsidDel="002D32C1">
        <w:rPr>
          <w:rFonts w:ascii="Verdana" w:hAnsi="Verdana" w:cs="Arial"/>
          <w:sz w:val="18"/>
          <w:szCs w:val="18"/>
        </w:rPr>
        <w:t xml:space="preserve"> </w:t>
      </w:r>
      <w:r w:rsidRPr="00B31BA5">
        <w:rPr>
          <w:rFonts w:ascii="Verdana" w:hAnsi="Verdana" w:cs="Arial"/>
          <w:sz w:val="18"/>
          <w:szCs w:val="18"/>
        </w:rPr>
        <w:t>to monitor the agreements and review them on a periodic basis.</w:t>
      </w:r>
    </w:p>
    <w:p w:rsidR="00B31BA5" w:rsidRPr="00B31BA5" w:rsidRDefault="00B31BA5" w:rsidP="00B31BA5">
      <w:pPr>
        <w:keepNext/>
        <w:keepLines/>
        <w:widowControl w:val="0"/>
        <w:ind w:left="-180" w:firstLine="720"/>
        <w:jc w:val="both"/>
        <w:rPr>
          <w:rFonts w:ascii="Verdana" w:hAnsi="Verdana" w:cs="Arial"/>
          <w:b/>
          <w:sz w:val="18"/>
          <w:szCs w:val="18"/>
        </w:rPr>
      </w:pPr>
    </w:p>
    <w:p w:rsidR="00B31BA5" w:rsidRPr="00B31BA5" w:rsidRDefault="00B31BA5" w:rsidP="00B31BA5">
      <w:pPr>
        <w:keepNext/>
        <w:keepLines/>
        <w:widowControl w:val="0"/>
        <w:ind w:left="-180"/>
        <w:jc w:val="both"/>
        <w:rPr>
          <w:rFonts w:ascii="Verdana" w:hAnsi="Verdana" w:cs="Arial"/>
          <w:b/>
          <w:sz w:val="22"/>
          <w:szCs w:val="22"/>
        </w:rPr>
      </w:pPr>
      <w:r w:rsidRPr="00B31BA5">
        <w:rPr>
          <w:rFonts w:ascii="Verdana" w:hAnsi="Verdana" w:cs="Arial"/>
          <w:b/>
          <w:sz w:val="22"/>
          <w:szCs w:val="22"/>
        </w:rPr>
        <w:t>Flat rates related to allocated projects:</w:t>
      </w:r>
    </w:p>
    <w:p w:rsidR="00B31BA5" w:rsidRPr="00B31BA5" w:rsidRDefault="00B31BA5" w:rsidP="00B31BA5">
      <w:pPr>
        <w:keepNext/>
        <w:keepLines/>
        <w:widowControl w:val="0"/>
        <w:ind w:left="-180"/>
        <w:jc w:val="both"/>
        <w:rPr>
          <w:rFonts w:ascii="Verdana" w:hAnsi="Verdana" w:cs="Arial"/>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2"/>
        <w:gridCol w:w="2694"/>
        <w:gridCol w:w="3118"/>
      </w:tblGrid>
      <w:tr w:rsidR="00B31BA5" w:rsidRPr="00B31BA5" w:rsidTr="00C000F9">
        <w:tc>
          <w:tcPr>
            <w:tcW w:w="426" w:type="dxa"/>
            <w:tcBorders>
              <w:top w:val="single" w:sz="4" w:space="0" w:color="auto"/>
              <w:bottom w:val="single" w:sz="4" w:space="0" w:color="auto"/>
            </w:tcBorders>
            <w:shd w:val="clear" w:color="auto" w:fill="BFBFBF"/>
          </w:tcPr>
          <w:p w:rsidR="00B31BA5" w:rsidRPr="00B31BA5" w:rsidRDefault="00B31BA5" w:rsidP="00C000F9">
            <w:pPr>
              <w:spacing w:beforeLines="30" w:before="72" w:afterLines="30" w:after="72"/>
              <w:rPr>
                <w:rFonts w:ascii="Verdana" w:hAnsi="Verdana" w:cs="Arial"/>
                <w:b/>
                <w:sz w:val="18"/>
                <w:szCs w:val="18"/>
              </w:rPr>
            </w:pPr>
          </w:p>
        </w:tc>
        <w:tc>
          <w:tcPr>
            <w:tcW w:w="4252" w:type="dxa"/>
            <w:tcBorders>
              <w:top w:val="single" w:sz="4" w:space="0" w:color="auto"/>
              <w:bottom w:val="single" w:sz="4" w:space="0" w:color="auto"/>
            </w:tcBorders>
            <w:shd w:val="clear" w:color="auto" w:fill="BFBFBF"/>
            <w:vAlign w:val="center"/>
          </w:tcPr>
          <w:p w:rsidR="00B31BA5" w:rsidRPr="00B31BA5" w:rsidRDefault="00B31BA5" w:rsidP="00C000F9">
            <w:pPr>
              <w:spacing w:beforeLines="30" w:before="72" w:afterLines="30" w:after="72"/>
              <w:rPr>
                <w:rFonts w:ascii="Verdana" w:hAnsi="Verdana" w:cs="Arial"/>
                <w:b/>
                <w:sz w:val="18"/>
                <w:szCs w:val="18"/>
              </w:rPr>
            </w:pPr>
            <w:r w:rsidRPr="00B31BA5">
              <w:rPr>
                <w:rFonts w:ascii="Verdana" w:hAnsi="Verdana" w:cs="Arial"/>
                <w:b/>
                <w:sz w:val="18"/>
                <w:szCs w:val="18"/>
              </w:rPr>
              <w:t>Certification Task</w:t>
            </w:r>
          </w:p>
        </w:tc>
        <w:tc>
          <w:tcPr>
            <w:tcW w:w="2694" w:type="dxa"/>
            <w:tcBorders>
              <w:top w:val="single" w:sz="4" w:space="0" w:color="auto"/>
              <w:bottom w:val="single" w:sz="4" w:space="0" w:color="auto"/>
            </w:tcBorders>
            <w:shd w:val="clear" w:color="auto" w:fill="BFBFBF"/>
            <w:vAlign w:val="center"/>
          </w:tcPr>
          <w:p w:rsidR="00B31BA5" w:rsidRPr="00B31BA5" w:rsidRDefault="00B31BA5" w:rsidP="00C000F9">
            <w:pPr>
              <w:spacing w:beforeLines="30" w:before="72" w:afterLines="30" w:after="72"/>
              <w:rPr>
                <w:rFonts w:ascii="Verdana" w:hAnsi="Verdana" w:cs="Arial"/>
                <w:b/>
                <w:sz w:val="18"/>
                <w:szCs w:val="18"/>
              </w:rPr>
            </w:pPr>
            <w:r w:rsidRPr="00B31BA5">
              <w:rPr>
                <w:rFonts w:ascii="Verdana" w:hAnsi="Verdana" w:cs="Arial"/>
                <w:b/>
                <w:sz w:val="18"/>
                <w:szCs w:val="18"/>
              </w:rPr>
              <w:t>Type of Product</w:t>
            </w:r>
          </w:p>
        </w:tc>
        <w:tc>
          <w:tcPr>
            <w:tcW w:w="3118" w:type="dxa"/>
            <w:tcBorders>
              <w:top w:val="single" w:sz="4" w:space="0" w:color="auto"/>
              <w:bottom w:val="single" w:sz="4" w:space="0" w:color="auto"/>
            </w:tcBorders>
            <w:shd w:val="clear" w:color="auto" w:fill="BFBFBF"/>
            <w:vAlign w:val="center"/>
          </w:tcPr>
          <w:p w:rsidR="00B31BA5" w:rsidRPr="00B31BA5" w:rsidRDefault="00B31BA5" w:rsidP="00C000F9">
            <w:pPr>
              <w:spacing w:beforeLines="30" w:before="72" w:afterLines="30" w:after="72"/>
              <w:jc w:val="center"/>
              <w:rPr>
                <w:rFonts w:ascii="Verdana" w:hAnsi="Verdana" w:cs="Arial"/>
                <w:b/>
                <w:sz w:val="18"/>
                <w:szCs w:val="18"/>
              </w:rPr>
            </w:pPr>
            <w:r w:rsidRPr="00B31BA5">
              <w:rPr>
                <w:rFonts w:ascii="Verdana" w:hAnsi="Verdana" w:cs="Arial"/>
                <w:b/>
                <w:sz w:val="18"/>
                <w:szCs w:val="18"/>
              </w:rPr>
              <w:t>Price per unit expressed in: NR OF WORKING HOURS</w:t>
            </w:r>
          </w:p>
        </w:tc>
      </w:tr>
      <w:tr w:rsidR="00B31BA5" w:rsidRPr="00B31BA5" w:rsidTr="00C000F9">
        <w:tc>
          <w:tcPr>
            <w:tcW w:w="426" w:type="dxa"/>
            <w:vMerge w:val="restart"/>
            <w:shd w:val="clear" w:color="auto" w:fill="F2F2F2"/>
          </w:tcPr>
          <w:p w:rsidR="00B31BA5" w:rsidRPr="00B31BA5" w:rsidRDefault="00B31BA5" w:rsidP="00C000F9">
            <w:pPr>
              <w:spacing w:beforeLines="30" w:before="72" w:afterLines="30" w:after="72"/>
              <w:rPr>
                <w:rFonts w:ascii="Verdana" w:hAnsi="Verdana" w:cs="Arial"/>
                <w:sz w:val="18"/>
                <w:szCs w:val="18"/>
              </w:rPr>
            </w:pPr>
            <w:r w:rsidRPr="00B31BA5">
              <w:rPr>
                <w:rFonts w:ascii="Verdana" w:hAnsi="Verdana" w:cs="Arial"/>
                <w:sz w:val="18"/>
                <w:szCs w:val="18"/>
              </w:rPr>
              <w:t>1</w:t>
            </w:r>
          </w:p>
        </w:tc>
        <w:tc>
          <w:tcPr>
            <w:tcW w:w="4252"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Minor Change/Repair</w:t>
            </w: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All CS:</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Aeroplane Flight Manuals (AFM)</w:t>
            </w: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All CS:</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Flight Conditions (for a Permit to Fly)</w:t>
            </w: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All CS:</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269"/>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val="restart"/>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Simple and Standard Major Change/Repair</w:t>
            </w: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CS-25:</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956373" w:rsidTr="00C000F9">
        <w:trPr>
          <w:trHeight w:val="268"/>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lang w:val="fr-BE"/>
              </w:rPr>
            </w:pPr>
            <w:r w:rsidRPr="00B31BA5">
              <w:rPr>
                <w:rFonts w:ascii="Verdana" w:hAnsi="Verdana" w:cs="Arial"/>
                <w:sz w:val="16"/>
                <w:szCs w:val="16"/>
                <w:lang w:val="fr-BE"/>
              </w:rPr>
              <w:t>CS-VLA, CS-22, LSA, CS-23:</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lang w:val="fr-BE"/>
              </w:rPr>
            </w:pPr>
          </w:p>
        </w:tc>
      </w:tr>
      <w:tr w:rsidR="00B31BA5" w:rsidRPr="00B31BA5" w:rsidTr="00C000F9">
        <w:trPr>
          <w:trHeight w:val="268"/>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lang w:val="fr-BE"/>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lang w:val="fr-BE"/>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CS-VLR, CS-27, CS-29:</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268"/>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Balloons, Airships:</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269"/>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val="restart"/>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Simple and Standard STC</w:t>
            </w: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CS-25:</w:t>
            </w:r>
          </w:p>
        </w:tc>
        <w:tc>
          <w:tcPr>
            <w:tcW w:w="3118" w:type="dxa"/>
            <w:tcBorders>
              <w:bottom w:val="single" w:sz="4" w:space="0" w:color="auto"/>
            </w:tcBorders>
            <w:shd w:val="clear" w:color="auto" w:fill="F2F2F2"/>
            <w:vAlign w:val="center"/>
          </w:tcPr>
          <w:p w:rsidR="00B31BA5" w:rsidRPr="00B31BA5" w:rsidRDefault="00B31BA5" w:rsidP="00C000F9">
            <w:pPr>
              <w:spacing w:beforeLines="30" w:before="72" w:afterLines="30" w:after="72"/>
              <w:rPr>
                <w:rFonts w:ascii="Verdana" w:hAnsi="Verdana" w:cs="Arial"/>
                <w:sz w:val="16"/>
                <w:szCs w:val="16"/>
              </w:rPr>
            </w:pPr>
          </w:p>
        </w:tc>
      </w:tr>
      <w:tr w:rsidR="00B31BA5" w:rsidRPr="00956373" w:rsidTr="00C000F9">
        <w:trPr>
          <w:trHeight w:val="268"/>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lang w:val="fr-BE"/>
              </w:rPr>
            </w:pPr>
            <w:r w:rsidRPr="00B31BA5">
              <w:rPr>
                <w:rFonts w:ascii="Verdana" w:hAnsi="Verdana" w:cs="Arial"/>
                <w:sz w:val="16"/>
                <w:szCs w:val="16"/>
                <w:lang w:val="fr-BE"/>
              </w:rPr>
              <w:t>CS-VLA, CS-22, LSA, CS-23:</w:t>
            </w:r>
          </w:p>
        </w:tc>
        <w:tc>
          <w:tcPr>
            <w:tcW w:w="3118" w:type="dxa"/>
            <w:tcBorders>
              <w:bottom w:val="single" w:sz="4" w:space="0" w:color="auto"/>
            </w:tcBorders>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lang w:val="fr-BE"/>
              </w:rPr>
            </w:pPr>
          </w:p>
        </w:tc>
      </w:tr>
      <w:tr w:rsidR="00B31BA5" w:rsidRPr="00B31BA5" w:rsidTr="00C000F9">
        <w:trPr>
          <w:trHeight w:val="268"/>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lang w:val="fr-BE"/>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lang w:val="fr-BE"/>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CS-VLR, CS-27, CS-29:</w:t>
            </w:r>
          </w:p>
        </w:tc>
        <w:tc>
          <w:tcPr>
            <w:tcW w:w="3118" w:type="dxa"/>
            <w:tcBorders>
              <w:bottom w:val="single" w:sz="4" w:space="0" w:color="auto"/>
            </w:tcBorders>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268"/>
        </w:trPr>
        <w:tc>
          <w:tcPr>
            <w:tcW w:w="426" w:type="dxa"/>
            <w:vMerge/>
            <w:tcBorders>
              <w:bottom w:val="single" w:sz="4" w:space="0" w:color="auto"/>
            </w:tcBorders>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tcBorders>
              <w:bottom w:val="single" w:sz="4" w:space="0" w:color="auto"/>
            </w:tcBorders>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tcBorders>
              <w:bottom w:val="single" w:sz="4" w:space="0" w:color="auto"/>
            </w:tcBorders>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Balloons, Airships:</w:t>
            </w:r>
          </w:p>
        </w:tc>
        <w:tc>
          <w:tcPr>
            <w:tcW w:w="3118" w:type="dxa"/>
            <w:tcBorders>
              <w:bottom w:val="single" w:sz="4" w:space="0" w:color="auto"/>
            </w:tcBorders>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c>
          <w:tcPr>
            <w:tcW w:w="426" w:type="dxa"/>
            <w:tcBorders>
              <w:top w:val="single" w:sz="4" w:space="0" w:color="auto"/>
              <w:bottom w:val="single" w:sz="4" w:space="0" w:color="auto"/>
            </w:tcBorders>
            <w:shd w:val="clear" w:color="auto" w:fill="BFBFBF"/>
          </w:tcPr>
          <w:p w:rsidR="00B31BA5" w:rsidRPr="00B31BA5" w:rsidRDefault="00B31BA5" w:rsidP="00C000F9">
            <w:pPr>
              <w:spacing w:beforeLines="30" w:before="72" w:afterLines="30" w:after="72"/>
              <w:rPr>
                <w:rFonts w:ascii="Verdana" w:hAnsi="Verdana" w:cs="Arial"/>
                <w:b/>
                <w:sz w:val="18"/>
                <w:szCs w:val="18"/>
              </w:rPr>
            </w:pPr>
          </w:p>
        </w:tc>
        <w:tc>
          <w:tcPr>
            <w:tcW w:w="4252" w:type="dxa"/>
            <w:tcBorders>
              <w:top w:val="single" w:sz="4" w:space="0" w:color="auto"/>
              <w:bottom w:val="single" w:sz="4" w:space="0" w:color="auto"/>
            </w:tcBorders>
            <w:shd w:val="clear" w:color="auto" w:fill="BFBFBF"/>
            <w:vAlign w:val="center"/>
          </w:tcPr>
          <w:p w:rsidR="00B31BA5" w:rsidRPr="00B31BA5" w:rsidRDefault="00B31BA5" w:rsidP="00C000F9">
            <w:pPr>
              <w:spacing w:beforeLines="30" w:before="72" w:afterLines="30" w:after="72"/>
              <w:rPr>
                <w:rFonts w:ascii="Verdana" w:hAnsi="Verdana" w:cs="Arial"/>
                <w:b/>
                <w:sz w:val="18"/>
                <w:szCs w:val="18"/>
              </w:rPr>
            </w:pPr>
            <w:r w:rsidRPr="00B31BA5">
              <w:rPr>
                <w:rFonts w:ascii="Verdana" w:hAnsi="Verdana" w:cs="Arial"/>
                <w:b/>
                <w:sz w:val="18"/>
                <w:szCs w:val="18"/>
              </w:rPr>
              <w:t>Description</w:t>
            </w:r>
          </w:p>
        </w:tc>
        <w:tc>
          <w:tcPr>
            <w:tcW w:w="2694" w:type="dxa"/>
            <w:tcBorders>
              <w:top w:val="single" w:sz="4" w:space="0" w:color="auto"/>
              <w:bottom w:val="single" w:sz="4" w:space="0" w:color="auto"/>
            </w:tcBorders>
            <w:shd w:val="clear" w:color="auto" w:fill="BFBFBF"/>
            <w:vAlign w:val="center"/>
          </w:tcPr>
          <w:p w:rsidR="00B31BA5" w:rsidRPr="00B31BA5" w:rsidRDefault="00B31BA5" w:rsidP="00C000F9">
            <w:pPr>
              <w:spacing w:beforeLines="30" w:before="72" w:afterLines="30" w:after="72"/>
              <w:rPr>
                <w:rFonts w:ascii="Verdana" w:hAnsi="Verdana" w:cs="Arial"/>
                <w:b/>
                <w:sz w:val="18"/>
                <w:szCs w:val="18"/>
              </w:rPr>
            </w:pPr>
            <w:r w:rsidRPr="00B31BA5">
              <w:rPr>
                <w:rFonts w:ascii="Verdana" w:hAnsi="Verdana" w:cs="Arial"/>
                <w:b/>
                <w:sz w:val="18"/>
                <w:szCs w:val="18"/>
              </w:rPr>
              <w:t>Region</w:t>
            </w:r>
          </w:p>
        </w:tc>
        <w:tc>
          <w:tcPr>
            <w:tcW w:w="3118" w:type="dxa"/>
            <w:tcBorders>
              <w:top w:val="single" w:sz="4" w:space="0" w:color="auto"/>
              <w:bottom w:val="single" w:sz="4" w:space="0" w:color="auto"/>
            </w:tcBorders>
            <w:shd w:val="clear" w:color="auto" w:fill="BFBFBF"/>
            <w:vAlign w:val="center"/>
          </w:tcPr>
          <w:p w:rsidR="00B31BA5" w:rsidRPr="00B31BA5" w:rsidRDefault="00B31BA5" w:rsidP="00C000F9">
            <w:pPr>
              <w:spacing w:beforeLines="30" w:before="72" w:afterLines="30" w:after="72"/>
              <w:jc w:val="center"/>
              <w:rPr>
                <w:rFonts w:ascii="Verdana" w:hAnsi="Verdana" w:cs="Arial"/>
                <w:b/>
                <w:sz w:val="18"/>
                <w:szCs w:val="18"/>
              </w:rPr>
            </w:pPr>
            <w:r w:rsidRPr="00B31BA5">
              <w:rPr>
                <w:rFonts w:ascii="Verdana" w:hAnsi="Verdana" w:cs="Arial"/>
                <w:b/>
                <w:sz w:val="18"/>
                <w:szCs w:val="18"/>
              </w:rPr>
              <w:t>Price expressed in: HOURS</w:t>
            </w:r>
          </w:p>
        </w:tc>
      </w:tr>
      <w:tr w:rsidR="00B31BA5" w:rsidRPr="00B31BA5" w:rsidTr="00C000F9">
        <w:trPr>
          <w:trHeight w:val="302"/>
        </w:trPr>
        <w:tc>
          <w:tcPr>
            <w:tcW w:w="426" w:type="dxa"/>
            <w:vMerge w:val="restart"/>
            <w:shd w:val="clear" w:color="auto" w:fill="F2F2F2"/>
          </w:tcPr>
          <w:p w:rsidR="00B31BA5" w:rsidRPr="00B31BA5" w:rsidDel="00E254B0" w:rsidRDefault="00B31BA5" w:rsidP="00C000F9">
            <w:pPr>
              <w:spacing w:beforeLines="30" w:before="72" w:afterLines="30" w:after="72"/>
              <w:rPr>
                <w:rFonts w:ascii="Verdana" w:hAnsi="Verdana" w:cs="Arial"/>
                <w:sz w:val="18"/>
                <w:szCs w:val="18"/>
              </w:rPr>
            </w:pPr>
            <w:r w:rsidRPr="00B31BA5">
              <w:rPr>
                <w:rFonts w:ascii="Verdana" w:hAnsi="Verdana" w:cs="Arial"/>
                <w:sz w:val="18"/>
                <w:szCs w:val="18"/>
              </w:rPr>
              <w:t>2</w:t>
            </w:r>
          </w:p>
        </w:tc>
        <w:tc>
          <w:tcPr>
            <w:tcW w:w="4252" w:type="dxa"/>
            <w:vMerge w:val="restart"/>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Fixed travel time (return journey) for destinations outside the territories of the EASA Member States</w:t>
            </w:r>
            <w:r w:rsidRPr="00B31BA5">
              <w:rPr>
                <w:rFonts w:ascii="Verdana" w:hAnsi="Verdana" w:cs="Arial"/>
                <w:sz w:val="16"/>
                <w:szCs w:val="16"/>
              </w:rPr>
              <w:br/>
            </w: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Russia (west):</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2"/>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Russia (east):</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North America (east coast):</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 xml:space="preserve">North America (west coast): </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South America (north):</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South America (middle):</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 xml:space="preserve">South America (south): </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 xml:space="preserve">North Africa: </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Middle Africa:</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South Africa:</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6"/>
                <w:szCs w:val="16"/>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 xml:space="preserve">Middle East: </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6"/>
                <w:szCs w:val="16"/>
              </w:rPr>
            </w:pPr>
          </w:p>
        </w:tc>
      </w:tr>
      <w:tr w:rsidR="00B31BA5" w:rsidRPr="00B31BA5" w:rsidTr="00C000F9">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Australia, New Zealand:</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8"/>
                <w:szCs w:val="18"/>
              </w:rPr>
            </w:pPr>
          </w:p>
        </w:tc>
      </w:tr>
      <w:tr w:rsidR="00B31BA5" w:rsidRPr="00B31BA5" w:rsidTr="008334DF">
        <w:trPr>
          <w:trHeight w:val="301"/>
        </w:trPr>
        <w:tc>
          <w:tcPr>
            <w:tcW w:w="426"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4252" w:type="dxa"/>
            <w:vMerge/>
            <w:shd w:val="clear" w:color="auto" w:fill="F2F2F2"/>
          </w:tcPr>
          <w:p w:rsidR="00B31BA5" w:rsidRPr="00B31BA5" w:rsidRDefault="00B31BA5" w:rsidP="00C000F9">
            <w:pPr>
              <w:spacing w:beforeLines="30" w:before="72" w:afterLines="30" w:after="72"/>
              <w:rPr>
                <w:rFonts w:ascii="Verdana" w:hAnsi="Verdana" w:cs="Arial"/>
                <w:sz w:val="18"/>
                <w:szCs w:val="18"/>
              </w:rPr>
            </w:pPr>
          </w:p>
        </w:tc>
        <w:tc>
          <w:tcPr>
            <w:tcW w:w="2694" w:type="dxa"/>
            <w:shd w:val="clear" w:color="auto" w:fill="F2F2F2"/>
          </w:tcPr>
          <w:p w:rsidR="00B31BA5" w:rsidRPr="00B31BA5" w:rsidRDefault="00B31BA5" w:rsidP="00C000F9">
            <w:pPr>
              <w:spacing w:beforeLines="30" w:before="72" w:afterLines="30" w:after="72"/>
              <w:rPr>
                <w:rFonts w:ascii="Verdana" w:hAnsi="Verdana" w:cs="Arial"/>
                <w:sz w:val="16"/>
                <w:szCs w:val="16"/>
              </w:rPr>
            </w:pPr>
            <w:r w:rsidRPr="00B31BA5">
              <w:rPr>
                <w:rFonts w:ascii="Verdana" w:hAnsi="Verdana" w:cs="Arial"/>
                <w:sz w:val="16"/>
                <w:szCs w:val="16"/>
              </w:rPr>
              <w:t xml:space="preserve">Far East: </w:t>
            </w:r>
          </w:p>
        </w:tc>
        <w:tc>
          <w:tcPr>
            <w:tcW w:w="3118" w:type="dxa"/>
            <w:shd w:val="clear" w:color="auto" w:fill="F2F2F2"/>
            <w:vAlign w:val="center"/>
          </w:tcPr>
          <w:p w:rsidR="00B31BA5" w:rsidRPr="00B31BA5" w:rsidRDefault="00B31BA5" w:rsidP="00C000F9">
            <w:pPr>
              <w:spacing w:beforeLines="30" w:before="72" w:afterLines="30" w:after="72"/>
              <w:jc w:val="center"/>
              <w:rPr>
                <w:rFonts w:ascii="Verdana" w:hAnsi="Verdana" w:cs="Arial"/>
                <w:sz w:val="18"/>
                <w:szCs w:val="18"/>
              </w:rPr>
            </w:pPr>
          </w:p>
        </w:tc>
      </w:tr>
      <w:tr w:rsidR="008334DF" w:rsidRPr="00B31BA5" w:rsidTr="00CD4479">
        <w:trPr>
          <w:trHeight w:val="301"/>
        </w:trPr>
        <w:tc>
          <w:tcPr>
            <w:tcW w:w="426" w:type="dxa"/>
            <w:shd w:val="clear" w:color="auto" w:fill="A6A6A6" w:themeFill="background1" w:themeFillShade="A6"/>
          </w:tcPr>
          <w:p w:rsidR="008334DF" w:rsidRPr="008334DF" w:rsidRDefault="008334DF" w:rsidP="00C000F9">
            <w:pPr>
              <w:spacing w:beforeLines="30" w:before="72" w:afterLines="30" w:after="72"/>
              <w:rPr>
                <w:rFonts w:ascii="Verdana" w:hAnsi="Verdana" w:cs="Arial"/>
                <w:b/>
                <w:sz w:val="18"/>
                <w:szCs w:val="18"/>
              </w:rPr>
            </w:pPr>
          </w:p>
        </w:tc>
        <w:tc>
          <w:tcPr>
            <w:tcW w:w="4252" w:type="dxa"/>
            <w:shd w:val="clear" w:color="auto" w:fill="A6A6A6" w:themeFill="background1" w:themeFillShade="A6"/>
            <w:vAlign w:val="center"/>
          </w:tcPr>
          <w:p w:rsidR="008334DF" w:rsidRDefault="008334DF">
            <w:pPr>
              <w:spacing w:beforeLines="30" w:before="72" w:afterLines="30" w:after="72" w:line="276" w:lineRule="auto"/>
              <w:rPr>
                <w:rFonts w:ascii="Verdana" w:eastAsiaTheme="minorHAnsi" w:hAnsi="Verdana"/>
                <w:b/>
                <w:bCs/>
                <w:sz w:val="18"/>
                <w:szCs w:val="18"/>
                <w:lang w:eastAsia="en-US"/>
              </w:rPr>
            </w:pPr>
            <w:r>
              <w:rPr>
                <w:rFonts w:ascii="Verdana" w:hAnsi="Verdana"/>
                <w:b/>
                <w:bCs/>
                <w:sz w:val="18"/>
                <w:szCs w:val="18"/>
              </w:rPr>
              <w:t>Description</w:t>
            </w:r>
          </w:p>
        </w:tc>
        <w:tc>
          <w:tcPr>
            <w:tcW w:w="2694" w:type="dxa"/>
            <w:shd w:val="clear" w:color="auto" w:fill="A6A6A6" w:themeFill="background1" w:themeFillShade="A6"/>
            <w:vAlign w:val="center"/>
          </w:tcPr>
          <w:p w:rsidR="008334DF" w:rsidRDefault="008334DF">
            <w:pPr>
              <w:spacing w:beforeLines="30" w:before="72" w:afterLines="30" w:after="72" w:line="276" w:lineRule="auto"/>
              <w:rPr>
                <w:rFonts w:ascii="Verdana" w:eastAsiaTheme="minorHAnsi" w:hAnsi="Verdana"/>
                <w:b/>
                <w:bCs/>
                <w:sz w:val="18"/>
                <w:szCs w:val="18"/>
                <w:lang w:eastAsia="en-US"/>
              </w:rPr>
            </w:pPr>
            <w:r>
              <w:rPr>
                <w:rFonts w:ascii="Verdana" w:hAnsi="Verdana"/>
                <w:b/>
                <w:bCs/>
                <w:sz w:val="18"/>
                <w:szCs w:val="18"/>
              </w:rPr>
              <w:t>Region</w:t>
            </w:r>
          </w:p>
        </w:tc>
        <w:tc>
          <w:tcPr>
            <w:tcW w:w="3118" w:type="dxa"/>
            <w:shd w:val="clear" w:color="auto" w:fill="A6A6A6" w:themeFill="background1" w:themeFillShade="A6"/>
            <w:vAlign w:val="center"/>
          </w:tcPr>
          <w:p w:rsidR="008334DF" w:rsidRDefault="008334DF">
            <w:pPr>
              <w:spacing w:beforeLines="30" w:before="72" w:afterLines="30" w:after="72" w:line="276" w:lineRule="auto"/>
              <w:jc w:val="center"/>
              <w:rPr>
                <w:rFonts w:ascii="Verdana" w:eastAsiaTheme="minorHAnsi" w:hAnsi="Verdana"/>
                <w:b/>
                <w:bCs/>
                <w:sz w:val="18"/>
                <w:szCs w:val="18"/>
                <w:lang w:eastAsia="en-US"/>
              </w:rPr>
            </w:pPr>
            <w:r>
              <w:rPr>
                <w:rFonts w:ascii="Verdana" w:hAnsi="Verdana"/>
                <w:b/>
                <w:bCs/>
                <w:sz w:val="18"/>
                <w:szCs w:val="18"/>
              </w:rPr>
              <w:t>% of hourly rate (Part I)</w:t>
            </w:r>
          </w:p>
        </w:tc>
      </w:tr>
      <w:tr w:rsidR="008334DF" w:rsidRPr="00B31BA5" w:rsidTr="008334DF">
        <w:trPr>
          <w:trHeight w:val="301"/>
        </w:trPr>
        <w:tc>
          <w:tcPr>
            <w:tcW w:w="426" w:type="dxa"/>
            <w:shd w:val="clear" w:color="auto" w:fill="D9D9D9" w:themeFill="background1" w:themeFillShade="D9"/>
          </w:tcPr>
          <w:p w:rsidR="008334DF" w:rsidRDefault="008334DF">
            <w:pPr>
              <w:spacing w:beforeLines="30" w:before="72" w:afterLines="30" w:after="72" w:line="276" w:lineRule="auto"/>
              <w:rPr>
                <w:rFonts w:ascii="Verdana" w:eastAsiaTheme="minorHAnsi" w:hAnsi="Verdana"/>
                <w:sz w:val="18"/>
                <w:szCs w:val="18"/>
                <w:lang w:eastAsia="en-US"/>
              </w:rPr>
            </w:pPr>
            <w:r>
              <w:rPr>
                <w:rFonts w:ascii="Verdana" w:hAnsi="Verdana"/>
                <w:sz w:val="18"/>
                <w:szCs w:val="18"/>
              </w:rPr>
              <w:t>3</w:t>
            </w:r>
          </w:p>
        </w:tc>
        <w:tc>
          <w:tcPr>
            <w:tcW w:w="4252" w:type="dxa"/>
            <w:shd w:val="clear" w:color="auto" w:fill="D9D9D9" w:themeFill="background1" w:themeFillShade="D9"/>
          </w:tcPr>
          <w:p w:rsidR="008334DF" w:rsidRDefault="008334DF">
            <w:pPr>
              <w:spacing w:beforeLines="30" w:before="72" w:afterLines="30" w:after="72" w:line="276" w:lineRule="auto"/>
              <w:rPr>
                <w:rFonts w:ascii="Verdana" w:eastAsiaTheme="minorHAnsi" w:hAnsi="Verdana"/>
                <w:sz w:val="16"/>
                <w:szCs w:val="16"/>
                <w:lang w:eastAsia="en-US"/>
              </w:rPr>
            </w:pPr>
            <w:r w:rsidRPr="008334DF">
              <w:rPr>
                <w:rFonts w:ascii="Verdana" w:hAnsi="Verdana"/>
                <w:b/>
                <w:sz w:val="16"/>
                <w:szCs w:val="16"/>
                <w:u w:val="single"/>
              </w:rPr>
              <w:t>Rebate</w:t>
            </w:r>
            <w:r>
              <w:rPr>
                <w:rFonts w:ascii="Verdana" w:hAnsi="Verdana"/>
                <w:sz w:val="16"/>
                <w:szCs w:val="16"/>
              </w:rPr>
              <w:t xml:space="preserve"> for travel time (return journey) for destinations outside the territories of the EASA Member States</w:t>
            </w:r>
          </w:p>
        </w:tc>
        <w:tc>
          <w:tcPr>
            <w:tcW w:w="2694" w:type="dxa"/>
            <w:shd w:val="clear" w:color="auto" w:fill="D9D9D9" w:themeFill="background1" w:themeFillShade="D9"/>
          </w:tcPr>
          <w:p w:rsidR="008334DF" w:rsidRPr="00B31BA5" w:rsidRDefault="008334DF" w:rsidP="00C000F9">
            <w:pPr>
              <w:spacing w:beforeLines="30" w:before="72" w:afterLines="30" w:after="72"/>
              <w:rPr>
                <w:rFonts w:ascii="Verdana" w:hAnsi="Verdana" w:cs="Arial"/>
                <w:sz w:val="16"/>
                <w:szCs w:val="16"/>
              </w:rPr>
            </w:pPr>
            <w:r>
              <w:rPr>
                <w:rFonts w:ascii="Verdana" w:hAnsi="Verdana" w:cs="Arial"/>
                <w:sz w:val="16"/>
                <w:szCs w:val="16"/>
              </w:rPr>
              <w:t>All</w:t>
            </w:r>
          </w:p>
        </w:tc>
        <w:tc>
          <w:tcPr>
            <w:tcW w:w="3118" w:type="dxa"/>
            <w:shd w:val="clear" w:color="auto" w:fill="D9D9D9" w:themeFill="background1" w:themeFillShade="D9"/>
            <w:vAlign w:val="center"/>
          </w:tcPr>
          <w:p w:rsidR="008334DF" w:rsidRPr="00B31BA5" w:rsidRDefault="008334DF" w:rsidP="00C000F9">
            <w:pPr>
              <w:spacing w:beforeLines="30" w:before="72" w:afterLines="30" w:after="72"/>
              <w:jc w:val="center"/>
              <w:rPr>
                <w:rFonts w:ascii="Verdana" w:hAnsi="Verdana" w:cs="Arial"/>
                <w:sz w:val="18"/>
                <w:szCs w:val="18"/>
              </w:rPr>
            </w:pPr>
          </w:p>
        </w:tc>
      </w:tr>
    </w:tbl>
    <w:p w:rsidR="00552041" w:rsidRPr="00B31BA5" w:rsidRDefault="00552041" w:rsidP="00B31BA5">
      <w:pPr>
        <w:rPr>
          <w:rFonts w:ascii="Verdana" w:hAnsi="Verdana"/>
        </w:rPr>
      </w:pPr>
    </w:p>
    <w:sectPr w:rsidR="00552041" w:rsidRPr="00B31BA5" w:rsidSect="00B31BA5">
      <w:pgSz w:w="11906" w:h="16838" w:code="9"/>
      <w:pgMar w:top="567" w:right="1106" w:bottom="719" w:left="90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56" w:rsidRDefault="00772356" w:rsidP="00772356">
      <w:r>
        <w:separator/>
      </w:r>
    </w:p>
  </w:endnote>
  <w:endnote w:type="continuationSeparator" w:id="0">
    <w:p w:rsidR="00772356" w:rsidRDefault="00772356" w:rsidP="0077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56" w:rsidRDefault="00772356" w:rsidP="00772356">
      <w:r>
        <w:separator/>
      </w:r>
    </w:p>
  </w:footnote>
  <w:footnote w:type="continuationSeparator" w:id="0">
    <w:p w:rsidR="00772356" w:rsidRDefault="00772356" w:rsidP="00772356">
      <w:r>
        <w:continuationSeparator/>
      </w:r>
    </w:p>
  </w:footnote>
  <w:footnote w:id="1">
    <w:p w:rsidR="00B31BA5" w:rsidRPr="00B31BA5" w:rsidRDefault="00B31BA5" w:rsidP="00B31BA5">
      <w:pPr>
        <w:pStyle w:val="BodyText"/>
        <w:spacing w:afterLines="120" w:after="288"/>
        <w:jc w:val="both"/>
        <w:rPr>
          <w:rFonts w:ascii="Verdana" w:hAnsi="Verdana"/>
        </w:rPr>
      </w:pPr>
      <w:r w:rsidRPr="00B31BA5">
        <w:rPr>
          <w:rStyle w:val="FootnoteReference"/>
          <w:rFonts w:ascii="Verdana" w:hAnsi="Verdana"/>
          <w:sz w:val="16"/>
          <w:szCs w:val="16"/>
        </w:rPr>
        <w:footnoteRef/>
      </w:r>
      <w:r w:rsidRPr="00B31BA5">
        <w:rPr>
          <w:rFonts w:ascii="Verdana" w:hAnsi="Verdana"/>
          <w:b/>
          <w:color w:val="365F91"/>
          <w:sz w:val="16"/>
          <w:szCs w:val="16"/>
        </w:rPr>
        <w:t>Important</w:t>
      </w:r>
      <w:r w:rsidRPr="00B31BA5">
        <w:rPr>
          <w:rFonts w:ascii="Verdana" w:hAnsi="Verdana"/>
          <w:color w:val="365F91"/>
          <w:sz w:val="16"/>
          <w:szCs w:val="16"/>
        </w:rPr>
        <w:t>:</w:t>
      </w:r>
      <w:r w:rsidRPr="00B31BA5">
        <w:rPr>
          <w:rFonts w:ascii="Verdana" w:hAnsi="Verdana"/>
          <w:sz w:val="16"/>
          <w:szCs w:val="16"/>
        </w:rPr>
        <w:t xml:space="preserve"> </w:t>
      </w:r>
      <w:r w:rsidRPr="00B31BA5">
        <w:rPr>
          <w:rStyle w:val="bodytext1"/>
          <w:rFonts w:ascii="Verdana" w:hAnsi="Verdana" w:cs="Arial"/>
          <w:sz w:val="15"/>
          <w:szCs w:val="15"/>
        </w:rPr>
        <w:t>It is strictly required that such substantiation to the hourly rate be included as part of the financial offer submitted - failure to respect this requirement may constitute a formal error and could result in the rejection of the tender.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551C"/>
    <w:multiLevelType w:val="hybridMultilevel"/>
    <w:tmpl w:val="A3A8F85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2ED00D59"/>
    <w:multiLevelType w:val="multilevel"/>
    <w:tmpl w:val="D0EECE06"/>
    <w:styleLink w:val="Styl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EE46AFF"/>
    <w:multiLevelType w:val="multilevel"/>
    <w:tmpl w:val="46467046"/>
    <w:lvl w:ilvl="0">
      <w:start w:val="1"/>
      <w:numFmt w:val="decimal"/>
      <w:pStyle w:val="Heading1"/>
      <w:lvlText w:val="%1"/>
      <w:lvlJc w:val="left"/>
      <w:pPr>
        <w:tabs>
          <w:tab w:val="num" w:pos="432"/>
        </w:tabs>
        <w:ind w:left="432" w:hanging="432"/>
      </w:pPr>
      <w:rPr>
        <w:rFonts w:ascii="Verdana" w:hAnsi="Verdana" w:hint="default"/>
        <w:i w:val="0"/>
        <w:sz w:val="24"/>
        <w:szCs w:val="24"/>
      </w:rPr>
    </w:lvl>
    <w:lvl w:ilvl="1">
      <w:start w:val="1"/>
      <w:numFmt w:val="decimal"/>
      <w:pStyle w:val="Heading2"/>
      <w:lvlText w:val="%1.%2"/>
      <w:lvlJc w:val="left"/>
      <w:pPr>
        <w:tabs>
          <w:tab w:val="num" w:pos="576"/>
        </w:tabs>
        <w:ind w:left="576" w:hanging="576"/>
      </w:pPr>
      <w:rPr>
        <w:rFonts w:hint="default"/>
        <w:b/>
      </w:rPr>
    </w:lvl>
    <w:lvl w:ilvl="2">
      <w:start w:val="1"/>
      <w:numFmt w:val="decimal"/>
      <w:pStyle w:val="Heading3"/>
      <w:lvlText w:val="%1.%2.%3"/>
      <w:lvlJc w:val="left"/>
      <w:pPr>
        <w:tabs>
          <w:tab w:val="num" w:pos="1260"/>
        </w:tabs>
        <w:ind w:left="1260" w:hanging="720"/>
      </w:pPr>
      <w:rPr>
        <w:rFonts w:ascii="Verdana" w:hAnsi="Verdana" w:hint="default"/>
        <w:b/>
        <w:i w:val="0"/>
        <w:sz w:val="20"/>
        <w:szCs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4E392EF2"/>
    <w:multiLevelType w:val="hybridMultilevel"/>
    <w:tmpl w:val="258825AA"/>
    <w:lvl w:ilvl="0" w:tplc="45540DCA">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5AC72E2"/>
    <w:multiLevelType w:val="hybridMultilevel"/>
    <w:tmpl w:val="3A22B5D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8982D70"/>
    <w:multiLevelType w:val="hybridMultilevel"/>
    <w:tmpl w:val="9A3A2AC6"/>
    <w:lvl w:ilvl="0" w:tplc="8B548820">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9F56FB"/>
    <w:multiLevelType w:val="hybridMultilevel"/>
    <w:tmpl w:val="50FC6218"/>
    <w:lvl w:ilvl="0" w:tplc="62E09F34">
      <w:numFmt w:val="bullet"/>
      <w:lvlText w:val="­"/>
      <w:lvlJc w:val="left"/>
      <w:pPr>
        <w:tabs>
          <w:tab w:val="num" w:pos="720"/>
        </w:tabs>
        <w:ind w:left="720" w:hanging="360"/>
      </w:pPr>
      <w:rPr>
        <w:rFonts w:ascii="Verdana" w:eastAsia="Times New Roman" w:hAnsi="Verdana"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2356"/>
    <w:rsid w:val="00552041"/>
    <w:rsid w:val="00772356"/>
    <w:rsid w:val="008334DF"/>
    <w:rsid w:val="00920DC2"/>
    <w:rsid w:val="00956373"/>
    <w:rsid w:val="00B31BA5"/>
    <w:rsid w:val="00B56908"/>
    <w:rsid w:val="00B75651"/>
    <w:rsid w:val="00BC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35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BC050A"/>
    <w:pPr>
      <w:keepNext/>
      <w:numPr>
        <w:numId w:val="3"/>
      </w:numPr>
      <w:spacing w:before="360" w:after="180"/>
      <w:outlineLvl w:val="0"/>
    </w:pPr>
    <w:rPr>
      <w:rFonts w:cs="Arial"/>
      <w:b/>
      <w:bCs/>
      <w:kern w:val="32"/>
      <w:sz w:val="28"/>
      <w:szCs w:val="32"/>
    </w:rPr>
  </w:style>
  <w:style w:type="paragraph" w:styleId="Heading2">
    <w:name w:val="heading 2"/>
    <w:aliases w:val=" Char,Char"/>
    <w:basedOn w:val="Normal"/>
    <w:next w:val="BodyText"/>
    <w:link w:val="Heading2Char"/>
    <w:qFormat/>
    <w:rsid w:val="00BC050A"/>
    <w:pPr>
      <w:keepNext/>
      <w:numPr>
        <w:ilvl w:val="1"/>
        <w:numId w:val="3"/>
      </w:numPr>
      <w:spacing w:before="240" w:after="60"/>
      <w:outlineLvl w:val="1"/>
    </w:pPr>
    <w:rPr>
      <w:rFonts w:cs="Arial"/>
      <w:b/>
      <w:bCs/>
      <w:iCs/>
      <w:sz w:val="22"/>
      <w:szCs w:val="28"/>
    </w:rPr>
  </w:style>
  <w:style w:type="paragraph" w:styleId="Heading3">
    <w:name w:val="heading 3"/>
    <w:basedOn w:val="Normal"/>
    <w:next w:val="Normal"/>
    <w:link w:val="Heading3Char"/>
    <w:qFormat/>
    <w:rsid w:val="00BC050A"/>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C050A"/>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BC050A"/>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BC050A"/>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BC050A"/>
    <w:pPr>
      <w:numPr>
        <w:ilvl w:val="6"/>
        <w:numId w:val="3"/>
      </w:numPr>
      <w:spacing w:before="240" w:after="60"/>
      <w:outlineLvl w:val="6"/>
    </w:pPr>
  </w:style>
  <w:style w:type="paragraph" w:styleId="Heading8">
    <w:name w:val="heading 8"/>
    <w:basedOn w:val="Normal"/>
    <w:next w:val="Normal"/>
    <w:link w:val="Heading8Char"/>
    <w:qFormat/>
    <w:rsid w:val="00BC050A"/>
    <w:pPr>
      <w:numPr>
        <w:ilvl w:val="7"/>
        <w:numId w:val="3"/>
      </w:numPr>
      <w:spacing w:before="240" w:after="60"/>
      <w:outlineLvl w:val="7"/>
    </w:pPr>
    <w:rPr>
      <w:i/>
      <w:iCs/>
    </w:rPr>
  </w:style>
  <w:style w:type="paragraph" w:styleId="Heading9">
    <w:name w:val="heading 9"/>
    <w:basedOn w:val="Normal"/>
    <w:next w:val="Normal"/>
    <w:link w:val="Heading9Char"/>
    <w:qFormat/>
    <w:rsid w:val="00BC050A"/>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1 Char, Char1,Body Text Char2,Body Text Char Char, Char1 Char Char1,Body Text Char1 Char Char, Char1 Char Char Char, Char1 Char1 Char,Body Text Char1 Char1"/>
    <w:basedOn w:val="Normal"/>
    <w:link w:val="BodyTextChar3"/>
    <w:rsid w:val="00772356"/>
    <w:pPr>
      <w:spacing w:after="120"/>
    </w:pPr>
    <w:rPr>
      <w:sz w:val="22"/>
    </w:rPr>
  </w:style>
  <w:style w:type="character" w:customStyle="1" w:styleId="BodyTextChar">
    <w:name w:val="Body Text Char"/>
    <w:basedOn w:val="DefaultParagraphFont"/>
    <w:uiPriority w:val="99"/>
    <w:semiHidden/>
    <w:rsid w:val="00772356"/>
    <w:rPr>
      <w:rFonts w:ascii="Times New Roman" w:eastAsia="Times New Roman" w:hAnsi="Times New Roman" w:cs="Times New Roman"/>
      <w:sz w:val="24"/>
      <w:szCs w:val="24"/>
      <w:lang w:eastAsia="en-GB"/>
    </w:rPr>
  </w:style>
  <w:style w:type="character" w:customStyle="1" w:styleId="bodytext1">
    <w:name w:val="bodytext1"/>
    <w:basedOn w:val="DefaultParagraphFont"/>
    <w:rsid w:val="00772356"/>
  </w:style>
  <w:style w:type="paragraph" w:styleId="Title">
    <w:name w:val="Title"/>
    <w:basedOn w:val="Normal"/>
    <w:link w:val="TitleChar"/>
    <w:qFormat/>
    <w:rsid w:val="00772356"/>
    <w:pPr>
      <w:spacing w:before="120" w:after="120"/>
      <w:jc w:val="center"/>
    </w:pPr>
    <w:rPr>
      <w:rFonts w:ascii="Arial" w:hAnsi="Arial"/>
      <w:b/>
      <w:snapToGrid w:val="0"/>
      <w:sz w:val="28"/>
      <w:szCs w:val="20"/>
      <w:lang w:val="fr-BE" w:eastAsia="en-US"/>
    </w:rPr>
  </w:style>
  <w:style w:type="character" w:customStyle="1" w:styleId="TitleChar">
    <w:name w:val="Title Char"/>
    <w:basedOn w:val="DefaultParagraphFont"/>
    <w:link w:val="Title"/>
    <w:rsid w:val="00772356"/>
    <w:rPr>
      <w:rFonts w:ascii="Arial" w:eastAsia="Times New Roman" w:hAnsi="Arial" w:cs="Times New Roman"/>
      <w:b/>
      <w:snapToGrid w:val="0"/>
      <w:sz w:val="28"/>
      <w:szCs w:val="20"/>
      <w:lang w:val="fr-BE"/>
    </w:rPr>
  </w:style>
  <w:style w:type="paragraph" w:customStyle="1" w:styleId="SubTitle2">
    <w:name w:val="SubTitle 2"/>
    <w:basedOn w:val="Normal"/>
    <w:rsid w:val="00772356"/>
    <w:pPr>
      <w:spacing w:after="240"/>
      <w:jc w:val="center"/>
    </w:pPr>
    <w:rPr>
      <w:rFonts w:ascii="Arial" w:hAnsi="Arial"/>
      <w:b/>
      <w:sz w:val="32"/>
      <w:szCs w:val="20"/>
      <w:lang w:eastAsia="en-US"/>
    </w:rPr>
  </w:style>
  <w:style w:type="character" w:styleId="FootnoteReference">
    <w:name w:val="footnote reference"/>
    <w:uiPriority w:val="99"/>
    <w:rsid w:val="00772356"/>
    <w:rPr>
      <w:vertAlign w:val="superscript"/>
    </w:rPr>
  </w:style>
  <w:style w:type="character" w:customStyle="1" w:styleId="BodyTextChar3">
    <w:name w:val="Body Text Char3"/>
    <w:aliases w:val="Body Text Char1 Char, Char1 Char Char, Char1 Char1,Body Text Char2 Char,Body Text Char Char Char, Char1 Char Char1 Char,Body Text Char1 Char Char Char, Char1 Char Char Char Char, Char1 Char1 Char Char,Body Text Char1 Char1 Char"/>
    <w:link w:val="BodyText"/>
    <w:rsid w:val="00772356"/>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rsid w:val="00BC050A"/>
    <w:rPr>
      <w:rFonts w:ascii="Times New Roman" w:eastAsia="Times New Roman" w:hAnsi="Times New Roman" w:cs="Arial"/>
      <w:b/>
      <w:bCs/>
      <w:kern w:val="32"/>
      <w:sz w:val="28"/>
      <w:szCs w:val="32"/>
      <w:lang w:eastAsia="en-GB"/>
    </w:rPr>
  </w:style>
  <w:style w:type="character" w:customStyle="1" w:styleId="Heading2Char">
    <w:name w:val="Heading 2 Char"/>
    <w:aliases w:val=" Char Char,Char Char"/>
    <w:basedOn w:val="DefaultParagraphFont"/>
    <w:link w:val="Heading2"/>
    <w:rsid w:val="00BC050A"/>
    <w:rPr>
      <w:rFonts w:ascii="Times New Roman" w:eastAsia="Times New Roman" w:hAnsi="Times New Roman" w:cs="Arial"/>
      <w:b/>
      <w:bCs/>
      <w:iCs/>
      <w:szCs w:val="28"/>
      <w:lang w:eastAsia="en-GB"/>
    </w:rPr>
  </w:style>
  <w:style w:type="character" w:customStyle="1" w:styleId="Heading3Char">
    <w:name w:val="Heading 3 Char"/>
    <w:basedOn w:val="DefaultParagraphFont"/>
    <w:link w:val="Heading3"/>
    <w:rsid w:val="00BC050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C050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C050A"/>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BC050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C050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C050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C050A"/>
    <w:rPr>
      <w:rFonts w:ascii="Arial" w:eastAsia="Times New Roman" w:hAnsi="Arial" w:cs="Arial"/>
      <w:lang w:eastAsia="en-GB"/>
    </w:rPr>
  </w:style>
  <w:style w:type="paragraph" w:styleId="FootnoteText">
    <w:name w:val="footnote text"/>
    <w:basedOn w:val="Normal"/>
    <w:link w:val="FootnoteTextChar"/>
    <w:uiPriority w:val="99"/>
    <w:rsid w:val="00BC050A"/>
    <w:rPr>
      <w:sz w:val="20"/>
      <w:szCs w:val="20"/>
    </w:rPr>
  </w:style>
  <w:style w:type="character" w:customStyle="1" w:styleId="FootnoteTextChar">
    <w:name w:val="Footnote Text Char"/>
    <w:basedOn w:val="DefaultParagraphFont"/>
    <w:link w:val="FootnoteText"/>
    <w:uiPriority w:val="99"/>
    <w:rsid w:val="00BC050A"/>
    <w:rPr>
      <w:rFonts w:ascii="Times New Roman" w:eastAsia="Times New Roman" w:hAnsi="Times New Roman" w:cs="Times New Roman"/>
      <w:sz w:val="20"/>
      <w:szCs w:val="20"/>
      <w:lang w:eastAsia="en-GB"/>
    </w:rPr>
  </w:style>
  <w:style w:type="numbering" w:customStyle="1" w:styleId="Style1">
    <w:name w:val="Style1"/>
    <w:rsid w:val="00B31BA5"/>
    <w:pPr>
      <w:numPr>
        <w:numId w:val="6"/>
      </w:numPr>
    </w:pPr>
  </w:style>
  <w:style w:type="paragraph" w:styleId="ListParagraph">
    <w:name w:val="List Paragraph"/>
    <w:basedOn w:val="Normal"/>
    <w:uiPriority w:val="34"/>
    <w:qFormat/>
    <w:rsid w:val="00B31BA5"/>
    <w:pPr>
      <w:ind w:left="720"/>
    </w:pPr>
    <w:rPr>
      <w:rFonts w:ascii="Verdana" w:hAnsi="Verdana"/>
    </w:rPr>
  </w:style>
  <w:style w:type="paragraph" w:styleId="Header">
    <w:name w:val="header"/>
    <w:basedOn w:val="Normal"/>
    <w:link w:val="HeaderChar"/>
    <w:uiPriority w:val="99"/>
    <w:unhideWhenUsed/>
    <w:rsid w:val="00B31BA5"/>
    <w:pPr>
      <w:tabs>
        <w:tab w:val="center" w:pos="4513"/>
        <w:tab w:val="right" w:pos="9026"/>
      </w:tabs>
    </w:pPr>
  </w:style>
  <w:style w:type="character" w:customStyle="1" w:styleId="HeaderChar">
    <w:name w:val="Header Char"/>
    <w:basedOn w:val="DefaultParagraphFont"/>
    <w:link w:val="Header"/>
    <w:uiPriority w:val="99"/>
    <w:rsid w:val="00B31BA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31BA5"/>
    <w:pPr>
      <w:tabs>
        <w:tab w:val="center" w:pos="4513"/>
        <w:tab w:val="right" w:pos="9026"/>
      </w:tabs>
    </w:pPr>
  </w:style>
  <w:style w:type="character" w:customStyle="1" w:styleId="FooterChar">
    <w:name w:val="Footer Char"/>
    <w:basedOn w:val="DefaultParagraphFont"/>
    <w:link w:val="Footer"/>
    <w:uiPriority w:val="99"/>
    <w:rsid w:val="00B31BA5"/>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1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4771</Characters>
  <Application>Microsoft Office Word</Application>
  <DocSecurity>0</DocSecurity>
  <Lines>39</Lines>
  <Paragraphs>11</Paragraphs>
  <ScaleCrop>false</ScaleCrop>
  <Company>EASA</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bozhara</dc:creator>
  <cp:keywords/>
  <dc:description/>
  <cp:lastModifiedBy>brunojo</cp:lastModifiedBy>
  <cp:revision>8</cp:revision>
  <dcterms:created xsi:type="dcterms:W3CDTF">2010-10-01T09:37:00Z</dcterms:created>
  <dcterms:modified xsi:type="dcterms:W3CDTF">2013-12-16T13:35:00Z</dcterms:modified>
</cp:coreProperties>
</file>